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C4" w:rsidRPr="009043C4" w:rsidRDefault="009043C4" w:rsidP="009043C4">
      <w:pPr>
        <w:pStyle w:val="ListParagraph"/>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19"/>
          <w:szCs w:val="19"/>
          <w:lang w:eastAsia="en-PH"/>
        </w:rPr>
      </w:pPr>
      <w:r w:rsidRPr="009043C4">
        <w:rPr>
          <w:rFonts w:ascii="Segoe UI" w:eastAsia="Times New Roman" w:hAnsi="Segoe UI" w:cs="Segoe UI"/>
          <w:color w:val="222222"/>
          <w:sz w:val="24"/>
          <w:szCs w:val="24"/>
          <w:lang w:eastAsia="en-PH"/>
        </w:rPr>
        <w:t>Inflation rate in January may have remained unchanged from that of December of last year's price increase of 3.3%.</w:t>
      </w:r>
    </w:p>
    <w:p w:rsidR="009043C4" w:rsidRPr="009043C4" w:rsidRDefault="009043C4" w:rsidP="009043C4">
      <w:pPr>
        <w:shd w:val="clear" w:color="auto" w:fill="FFFFFF"/>
        <w:spacing w:after="0" w:line="240" w:lineRule="auto"/>
        <w:jc w:val="center"/>
        <w:rPr>
          <w:rFonts w:ascii="Arial" w:eastAsia="Times New Roman" w:hAnsi="Arial" w:cs="Arial"/>
          <w:color w:val="222222"/>
          <w:sz w:val="19"/>
          <w:szCs w:val="19"/>
          <w:lang w:eastAsia="en-PH"/>
        </w:rPr>
      </w:pPr>
      <w:r w:rsidRPr="009043C4">
        <w:rPr>
          <w:rFonts w:ascii="Segoe UI" w:eastAsia="Times New Roman" w:hAnsi="Segoe UI" w:cs="Segoe UI"/>
          <w:b/>
          <w:bCs/>
          <w:color w:val="222222"/>
          <w:sz w:val="24"/>
          <w:szCs w:val="24"/>
          <w:lang w:eastAsia="en-PH"/>
        </w:rPr>
        <w:t>Table 1: Inflation Rate Forecast by Commodity Group (%)</w:t>
      </w:r>
    </w:p>
    <w:tbl>
      <w:tblPr>
        <w:tblW w:w="0" w:type="auto"/>
        <w:jc w:val="center"/>
        <w:tblCellMar>
          <w:left w:w="0" w:type="dxa"/>
          <w:right w:w="0" w:type="dxa"/>
        </w:tblCellMar>
        <w:tblLook w:val="04A0" w:firstRow="1" w:lastRow="0" w:firstColumn="1" w:lastColumn="0" w:noHBand="0" w:noVBand="1"/>
      </w:tblPr>
      <w:tblGrid>
        <w:gridCol w:w="3878"/>
        <w:gridCol w:w="915"/>
        <w:gridCol w:w="976"/>
        <w:gridCol w:w="1032"/>
      </w:tblGrid>
      <w:tr w:rsidR="009043C4" w:rsidRPr="009043C4" w:rsidTr="009043C4">
        <w:trPr>
          <w:trHeight w:val="285"/>
          <w:jc w:val="center"/>
        </w:trPr>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Commodity Group</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jc w:val="right"/>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Jan-17</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jc w:val="right"/>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Dec-17</w:t>
            </w:r>
          </w:p>
        </w:tc>
        <w:tc>
          <w:tcPr>
            <w:tcW w:w="0" w:type="auto"/>
            <w:tcBorders>
              <w:top w:val="single" w:sz="8" w:space="0" w:color="auto"/>
              <w:left w:val="nil"/>
              <w:bottom w:val="single" w:sz="8" w:space="0" w:color="auto"/>
              <w:right w:val="nil"/>
            </w:tcBorders>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jc w:val="right"/>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Jan-18F</w:t>
            </w:r>
          </w:p>
        </w:tc>
      </w:tr>
      <w:tr w:rsidR="009043C4" w:rsidRPr="009043C4" w:rsidTr="009043C4">
        <w:trPr>
          <w:trHeight w:val="285"/>
          <w:jc w:val="center"/>
        </w:trPr>
        <w:tc>
          <w:tcPr>
            <w:tcW w:w="0" w:type="auto"/>
            <w:tcBorders>
              <w:top w:val="nil"/>
              <w:left w:val="nil"/>
              <w:bottom w:val="nil"/>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b/>
                <w:bCs/>
                <w:color w:val="000000"/>
                <w:sz w:val="24"/>
                <w:szCs w:val="24"/>
                <w:lang w:eastAsia="en-PH"/>
              </w:rPr>
              <w:t>All items</w:t>
            </w:r>
          </w:p>
        </w:tc>
        <w:tc>
          <w:tcPr>
            <w:tcW w:w="0" w:type="auto"/>
            <w:tcBorders>
              <w:top w:val="nil"/>
              <w:left w:val="nil"/>
              <w:bottom w:val="nil"/>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b/>
                <w:bCs/>
                <w:color w:val="000000"/>
                <w:sz w:val="24"/>
                <w:szCs w:val="24"/>
                <w:lang w:eastAsia="en-PH"/>
              </w:rPr>
              <w:t>    2.7</w:t>
            </w:r>
          </w:p>
        </w:tc>
        <w:tc>
          <w:tcPr>
            <w:tcW w:w="0" w:type="auto"/>
            <w:tcBorders>
              <w:top w:val="nil"/>
              <w:left w:val="nil"/>
              <w:bottom w:val="nil"/>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b/>
                <w:bCs/>
                <w:color w:val="000000"/>
                <w:sz w:val="24"/>
                <w:szCs w:val="24"/>
                <w:lang w:eastAsia="en-PH"/>
              </w:rPr>
              <w:t>     3.3</w:t>
            </w:r>
          </w:p>
        </w:tc>
        <w:tc>
          <w:tcPr>
            <w:tcW w:w="0" w:type="auto"/>
            <w:tcBorders>
              <w:top w:val="nil"/>
              <w:left w:val="nil"/>
              <w:bottom w:val="nil"/>
              <w:right w:val="nil"/>
            </w:tcBorders>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b/>
                <w:bCs/>
                <w:color w:val="000000"/>
                <w:sz w:val="24"/>
                <w:szCs w:val="24"/>
                <w:lang w:eastAsia="en-PH"/>
              </w:rPr>
              <w:t>    3.3</w:t>
            </w:r>
          </w:p>
        </w:tc>
      </w:tr>
      <w:tr w:rsidR="009043C4" w:rsidRPr="009043C4" w:rsidTr="009043C4">
        <w:trPr>
          <w:trHeight w:val="285"/>
          <w:jc w:val="center"/>
        </w:trPr>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Food and non-alcoholic beverages</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3.4</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3.5</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3.5</w:t>
            </w:r>
          </w:p>
        </w:tc>
      </w:tr>
      <w:tr w:rsidR="009043C4" w:rsidRPr="009043C4" w:rsidTr="009043C4">
        <w:trPr>
          <w:trHeight w:val="285"/>
          <w:jc w:val="center"/>
        </w:trPr>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Alcoholic beverages and Tobacco</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5.6</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6.4</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6.7</w:t>
            </w:r>
          </w:p>
        </w:tc>
      </w:tr>
      <w:tr w:rsidR="009043C4" w:rsidRPr="009043C4" w:rsidTr="009043C4">
        <w:trPr>
          <w:trHeight w:val="285"/>
          <w:jc w:val="center"/>
        </w:trPr>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NON-FOOD</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2.0</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2.9</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2.9</w:t>
            </w:r>
          </w:p>
        </w:tc>
      </w:tr>
      <w:tr w:rsidR="009043C4" w:rsidRPr="009043C4" w:rsidTr="009043C4">
        <w:trPr>
          <w:trHeight w:val="285"/>
          <w:jc w:val="center"/>
        </w:trPr>
        <w:tc>
          <w:tcPr>
            <w:tcW w:w="0" w:type="auto"/>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bookmarkStart w:id="0" w:name="_GoBack"/>
            <w:r w:rsidRPr="009043C4">
              <w:rPr>
                <w:rFonts w:ascii="Segoe UI" w:eastAsia="Times New Roman" w:hAnsi="Segoe UI" w:cs="Segoe UI"/>
                <w:color w:val="000000"/>
                <w:sz w:val="24"/>
                <w:szCs w:val="24"/>
                <w:lang w:eastAsia="en-PH"/>
              </w:rPr>
              <w:t>Clothing and footwear</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2.8</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1.8</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1.6</w:t>
            </w:r>
          </w:p>
        </w:tc>
      </w:tr>
      <w:bookmarkEnd w:id="0"/>
      <w:tr w:rsidR="009043C4" w:rsidRPr="009043C4" w:rsidTr="009043C4">
        <w:trPr>
          <w:trHeight w:val="285"/>
          <w:jc w:val="center"/>
        </w:trPr>
        <w:tc>
          <w:tcPr>
            <w:tcW w:w="0" w:type="auto"/>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Housing, Utilities &amp; Fuels</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1.8</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3.8</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3.5</w:t>
            </w:r>
          </w:p>
        </w:tc>
      </w:tr>
      <w:tr w:rsidR="009043C4" w:rsidRPr="009043C4" w:rsidTr="009043C4">
        <w:trPr>
          <w:trHeight w:val="285"/>
          <w:jc w:val="center"/>
        </w:trPr>
        <w:tc>
          <w:tcPr>
            <w:tcW w:w="0" w:type="auto"/>
            <w:tcMar>
              <w:top w:w="0" w:type="dxa"/>
              <w:left w:w="108" w:type="dxa"/>
              <w:bottom w:w="0" w:type="dxa"/>
              <w:right w:w="108" w:type="dxa"/>
            </w:tcMar>
            <w:vAlign w:val="bottom"/>
            <w:hideMark/>
          </w:tcPr>
          <w:p w:rsidR="009043C4" w:rsidRPr="009043C4" w:rsidRDefault="009043C4" w:rsidP="009043C4">
            <w:pPr>
              <w:spacing w:after="0" w:line="240" w:lineRule="auto"/>
              <w:ind w:firstLine="240"/>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Electricity, Gas &amp; Other Fuels</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2.5</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8.4</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6.8</w:t>
            </w:r>
          </w:p>
        </w:tc>
      </w:tr>
      <w:tr w:rsidR="009043C4" w:rsidRPr="009043C4" w:rsidTr="009043C4">
        <w:trPr>
          <w:trHeight w:val="285"/>
          <w:jc w:val="center"/>
        </w:trPr>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Furnishings, household equipment</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2.3</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1.9</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2.0</w:t>
            </w:r>
          </w:p>
        </w:tc>
      </w:tr>
      <w:tr w:rsidR="009043C4" w:rsidRPr="009043C4" w:rsidTr="009043C4">
        <w:trPr>
          <w:trHeight w:val="285"/>
          <w:jc w:val="center"/>
        </w:trPr>
        <w:tc>
          <w:tcPr>
            <w:tcW w:w="0" w:type="auto"/>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Health</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2.6</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2.2</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2.2</w:t>
            </w:r>
          </w:p>
        </w:tc>
      </w:tr>
      <w:tr w:rsidR="009043C4" w:rsidRPr="009043C4" w:rsidTr="009043C4">
        <w:trPr>
          <w:trHeight w:val="285"/>
          <w:jc w:val="center"/>
        </w:trPr>
        <w:tc>
          <w:tcPr>
            <w:tcW w:w="0" w:type="auto"/>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Transport</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2.4</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2.4</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3.1</w:t>
            </w:r>
          </w:p>
        </w:tc>
      </w:tr>
      <w:tr w:rsidR="009043C4" w:rsidRPr="009043C4" w:rsidTr="009043C4">
        <w:trPr>
          <w:trHeight w:val="285"/>
          <w:jc w:val="center"/>
        </w:trPr>
        <w:tc>
          <w:tcPr>
            <w:tcW w:w="0" w:type="auto"/>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Communication</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0.1</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0.4</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0.4</w:t>
            </w:r>
          </w:p>
        </w:tc>
      </w:tr>
      <w:tr w:rsidR="009043C4" w:rsidRPr="009043C4" w:rsidTr="009043C4">
        <w:trPr>
          <w:trHeight w:val="285"/>
          <w:jc w:val="center"/>
        </w:trPr>
        <w:tc>
          <w:tcPr>
            <w:tcW w:w="0" w:type="auto"/>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Recreation and Culture</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1.9</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1.5</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1.4</w:t>
            </w:r>
          </w:p>
        </w:tc>
      </w:tr>
      <w:tr w:rsidR="009043C4" w:rsidRPr="009043C4" w:rsidTr="009043C4">
        <w:trPr>
          <w:trHeight w:val="285"/>
          <w:jc w:val="center"/>
        </w:trPr>
        <w:tc>
          <w:tcPr>
            <w:tcW w:w="0" w:type="auto"/>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Education</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1.8</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2.2</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2.2</w:t>
            </w:r>
          </w:p>
        </w:tc>
      </w:tr>
      <w:tr w:rsidR="009043C4" w:rsidRPr="009043C4" w:rsidTr="009043C4">
        <w:trPr>
          <w:trHeight w:val="285"/>
          <w:jc w:val="center"/>
        </w:trPr>
        <w:tc>
          <w:tcPr>
            <w:tcW w:w="0" w:type="auto"/>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Restaurants &amp; Misc. Services</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2.2</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3.0</w:t>
            </w:r>
          </w:p>
        </w:tc>
        <w:tc>
          <w:tcPr>
            <w:tcW w:w="0" w:type="auto"/>
            <w:shd w:val="clear" w:color="auto" w:fill="92CDDC"/>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3.1</w:t>
            </w:r>
          </w:p>
        </w:tc>
      </w:tr>
      <w:tr w:rsidR="009043C4" w:rsidRPr="009043C4" w:rsidTr="009043C4">
        <w:trPr>
          <w:trHeight w:val="285"/>
          <w:jc w:val="center"/>
        </w:trPr>
        <w:tc>
          <w:tcPr>
            <w:tcW w:w="0" w:type="auto"/>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b/>
                <w:bCs/>
                <w:color w:val="000000"/>
                <w:sz w:val="24"/>
                <w:szCs w:val="24"/>
                <w:lang w:eastAsia="en-PH"/>
              </w:rPr>
              <w:t>Core</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b/>
                <w:bCs/>
                <w:color w:val="000000"/>
                <w:sz w:val="24"/>
                <w:szCs w:val="24"/>
                <w:lang w:eastAsia="en-PH"/>
              </w:rPr>
              <w:t>    2.5</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b/>
                <w:bCs/>
                <w:color w:val="000000"/>
                <w:sz w:val="24"/>
                <w:szCs w:val="24"/>
                <w:lang w:eastAsia="en-PH"/>
              </w:rPr>
              <w:t>     3.0</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b/>
                <w:bCs/>
                <w:color w:val="000000"/>
                <w:sz w:val="24"/>
                <w:szCs w:val="24"/>
                <w:lang w:eastAsia="en-PH"/>
              </w:rPr>
              <w:t> </w:t>
            </w:r>
          </w:p>
        </w:tc>
      </w:tr>
      <w:tr w:rsidR="009043C4" w:rsidRPr="009043C4" w:rsidTr="009043C4">
        <w:trPr>
          <w:trHeight w:val="285"/>
          <w:jc w:val="center"/>
        </w:trPr>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Source of Basic Data: PSA</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w:t>
            </w:r>
          </w:p>
        </w:tc>
      </w:tr>
    </w:tbl>
    <w:p w:rsidR="009043C4" w:rsidRPr="009043C4" w:rsidRDefault="009043C4" w:rsidP="009043C4">
      <w:pPr>
        <w:shd w:val="clear" w:color="auto" w:fill="FFFFFF"/>
        <w:spacing w:before="100" w:beforeAutospacing="1" w:after="100" w:afterAutospacing="1" w:line="240" w:lineRule="auto"/>
        <w:jc w:val="both"/>
        <w:rPr>
          <w:rFonts w:ascii="Arial" w:eastAsia="Times New Roman" w:hAnsi="Arial" w:cs="Arial"/>
          <w:color w:val="222222"/>
          <w:sz w:val="19"/>
          <w:szCs w:val="19"/>
          <w:lang w:eastAsia="en-PH"/>
        </w:rPr>
      </w:pPr>
      <w:r w:rsidRPr="009043C4">
        <w:rPr>
          <w:rFonts w:ascii="Segoe UI" w:eastAsia="Times New Roman" w:hAnsi="Segoe UI" w:cs="Segoe UI"/>
          <w:color w:val="222222"/>
          <w:sz w:val="16"/>
          <w:szCs w:val="16"/>
          <w:lang w:eastAsia="en-PH"/>
        </w:rPr>
        <w:t> </w:t>
      </w:r>
    </w:p>
    <w:p w:rsidR="009043C4" w:rsidRPr="009043C4" w:rsidRDefault="009043C4" w:rsidP="009043C4">
      <w:pPr>
        <w:shd w:val="clear" w:color="auto" w:fill="FFFFFF"/>
        <w:spacing w:before="100" w:beforeAutospacing="1" w:after="100" w:afterAutospacing="1" w:line="240" w:lineRule="auto"/>
        <w:jc w:val="both"/>
        <w:rPr>
          <w:rFonts w:ascii="Arial" w:eastAsia="Times New Roman" w:hAnsi="Arial" w:cs="Arial"/>
          <w:color w:val="222222"/>
          <w:sz w:val="19"/>
          <w:szCs w:val="19"/>
          <w:lang w:eastAsia="en-PH"/>
        </w:rPr>
      </w:pPr>
      <w:r w:rsidRPr="009043C4">
        <w:rPr>
          <w:rFonts w:ascii="Symbol" w:eastAsia="Times New Roman" w:hAnsi="Symbol" w:cs="Arial"/>
          <w:color w:val="222222"/>
          <w:sz w:val="24"/>
          <w:szCs w:val="24"/>
          <w:lang w:eastAsia="en-PH"/>
        </w:rPr>
        <w:t></w:t>
      </w:r>
      <w:r w:rsidRPr="009043C4">
        <w:rPr>
          <w:rFonts w:ascii="Times New Roman" w:eastAsia="Times New Roman" w:hAnsi="Times New Roman" w:cs="Times New Roman"/>
          <w:color w:val="222222"/>
          <w:sz w:val="14"/>
          <w:szCs w:val="14"/>
          <w:lang w:eastAsia="en-PH"/>
        </w:rPr>
        <w:t>         </w:t>
      </w:r>
      <w:r w:rsidRPr="009043C4">
        <w:rPr>
          <w:rFonts w:ascii="Segoe UI" w:eastAsia="Times New Roman" w:hAnsi="Segoe UI" w:cs="Segoe UI"/>
          <w:color w:val="222222"/>
          <w:sz w:val="24"/>
          <w:szCs w:val="24"/>
          <w:lang w:eastAsia="en-PH"/>
        </w:rPr>
        <w:t>Inflation of food and non-food items was steady despite the rise in the transport rate which is a lagged response from last month’s fuel rate hike. Declines in housing, utilities and fuels, clothing and footwear, and recreation and culture all contributed to offset the upward pressure from the transport sector.   </w:t>
      </w:r>
    </w:p>
    <w:p w:rsidR="009043C4" w:rsidRPr="009043C4" w:rsidRDefault="009043C4" w:rsidP="009043C4">
      <w:pPr>
        <w:shd w:val="clear" w:color="auto" w:fill="FFFFFF"/>
        <w:spacing w:after="0" w:line="240" w:lineRule="auto"/>
        <w:jc w:val="center"/>
        <w:rPr>
          <w:rFonts w:ascii="Arial" w:eastAsia="Times New Roman" w:hAnsi="Arial" w:cs="Arial"/>
          <w:color w:val="222222"/>
          <w:sz w:val="19"/>
          <w:szCs w:val="19"/>
          <w:lang w:eastAsia="en-PH"/>
        </w:rPr>
      </w:pPr>
      <w:r w:rsidRPr="009043C4">
        <w:rPr>
          <w:rFonts w:ascii="Segoe UI" w:eastAsia="Times New Roman" w:hAnsi="Segoe UI" w:cs="Segoe UI"/>
          <w:b/>
          <w:bCs/>
          <w:color w:val="222222"/>
          <w:sz w:val="24"/>
          <w:szCs w:val="24"/>
          <w:lang w:eastAsia="en-PH"/>
        </w:rPr>
        <w:t>Table 2: Prices of Selected Commodities</w:t>
      </w:r>
    </w:p>
    <w:tbl>
      <w:tblPr>
        <w:tblW w:w="0" w:type="auto"/>
        <w:jc w:val="center"/>
        <w:tblCellMar>
          <w:left w:w="0" w:type="dxa"/>
          <w:right w:w="0" w:type="dxa"/>
        </w:tblCellMar>
        <w:tblLook w:val="04A0" w:firstRow="1" w:lastRow="0" w:firstColumn="1" w:lastColumn="0" w:noHBand="0" w:noVBand="1"/>
      </w:tblPr>
      <w:tblGrid>
        <w:gridCol w:w="5624"/>
        <w:gridCol w:w="920"/>
        <w:gridCol w:w="976"/>
        <w:gridCol w:w="920"/>
      </w:tblGrid>
      <w:tr w:rsidR="009043C4" w:rsidRPr="009043C4" w:rsidTr="009043C4">
        <w:trPr>
          <w:trHeight w:val="285"/>
          <w:jc w:val="center"/>
        </w:trPr>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Item</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jc w:val="right"/>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Jan-17</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jc w:val="right"/>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Dec-17</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jc w:val="right"/>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Jan-18</w:t>
            </w:r>
          </w:p>
        </w:tc>
      </w:tr>
      <w:tr w:rsidR="009043C4" w:rsidRPr="009043C4" w:rsidTr="009043C4">
        <w:trPr>
          <w:trHeight w:val="285"/>
          <w:jc w:val="center"/>
        </w:trPr>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proofErr w:type="spellStart"/>
            <w:r w:rsidRPr="009043C4">
              <w:rPr>
                <w:rFonts w:ascii="Segoe UI" w:eastAsia="Times New Roman" w:hAnsi="Segoe UI" w:cs="Segoe UI"/>
                <w:sz w:val="24"/>
                <w:szCs w:val="24"/>
                <w:lang w:eastAsia="en-PH"/>
              </w:rPr>
              <w:t>Meralco</w:t>
            </w:r>
            <w:proofErr w:type="spellEnd"/>
            <w:r w:rsidRPr="009043C4">
              <w:rPr>
                <w:rFonts w:ascii="Segoe UI" w:eastAsia="Times New Roman" w:hAnsi="Segoe UI" w:cs="Segoe UI"/>
                <w:sz w:val="24"/>
                <w:szCs w:val="24"/>
                <w:lang w:eastAsia="en-PH"/>
              </w:rPr>
              <w:t xml:space="preserve"> rate per </w:t>
            </w:r>
            <w:proofErr w:type="spellStart"/>
            <w:r w:rsidRPr="009043C4">
              <w:rPr>
                <w:rFonts w:ascii="Segoe UI" w:eastAsia="Times New Roman" w:hAnsi="Segoe UI" w:cs="Segoe UI"/>
                <w:sz w:val="24"/>
                <w:szCs w:val="24"/>
                <w:lang w:eastAsia="en-PH"/>
              </w:rPr>
              <w:t>kWH</w:t>
            </w:r>
            <w:proofErr w:type="spellEnd"/>
            <w:r w:rsidRPr="009043C4">
              <w:rPr>
                <w:rFonts w:ascii="Segoe UI" w:eastAsia="Times New Roman" w:hAnsi="Segoe UI" w:cs="Segoe UI"/>
                <w:sz w:val="24"/>
                <w:szCs w:val="24"/>
                <w:lang w:eastAsia="en-PH"/>
              </w:rPr>
              <w:t xml:space="preserve"> for 200KW/</w:t>
            </w:r>
            <w:proofErr w:type="spellStart"/>
            <w:r w:rsidRPr="009043C4">
              <w:rPr>
                <w:rFonts w:ascii="Segoe UI" w:eastAsia="Times New Roman" w:hAnsi="Segoe UI" w:cs="Segoe UI"/>
                <w:sz w:val="24"/>
                <w:szCs w:val="24"/>
                <w:lang w:eastAsia="en-PH"/>
              </w:rPr>
              <w:t>mo</w:t>
            </w:r>
            <w:proofErr w:type="spellEnd"/>
            <w:r w:rsidRPr="009043C4">
              <w:rPr>
                <w:rFonts w:ascii="Segoe UI" w:eastAsia="Times New Roman" w:hAnsi="Segoe UI" w:cs="Segoe UI"/>
                <w:sz w:val="24"/>
                <w:szCs w:val="24"/>
                <w:lang w:eastAsia="en-PH"/>
              </w:rPr>
              <w:t xml:space="preserve"> consumption</w:t>
            </w:r>
          </w:p>
        </w:tc>
        <w:tc>
          <w:tcPr>
            <w:tcW w:w="0" w:type="auto"/>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sz w:val="24"/>
                <w:szCs w:val="24"/>
                <w:lang w:eastAsia="en-PH"/>
              </w:rPr>
              <w:t>    8.09</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9.25</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8.72</w:t>
            </w:r>
          </w:p>
        </w:tc>
      </w:tr>
      <w:tr w:rsidR="009043C4" w:rsidRPr="009043C4" w:rsidTr="009043C4">
        <w:trPr>
          <w:trHeight w:val="285"/>
          <w:jc w:val="center"/>
        </w:trPr>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proofErr w:type="spellStart"/>
            <w:r w:rsidRPr="009043C4">
              <w:rPr>
                <w:rFonts w:ascii="Segoe UI" w:eastAsia="Times New Roman" w:hAnsi="Segoe UI" w:cs="Segoe UI"/>
                <w:sz w:val="24"/>
                <w:szCs w:val="24"/>
                <w:lang w:eastAsia="en-PH"/>
              </w:rPr>
              <w:t>Meralco</w:t>
            </w:r>
            <w:proofErr w:type="spellEnd"/>
            <w:r w:rsidRPr="009043C4">
              <w:rPr>
                <w:rFonts w:ascii="Segoe UI" w:eastAsia="Times New Roman" w:hAnsi="Segoe UI" w:cs="Segoe UI"/>
                <w:sz w:val="24"/>
                <w:szCs w:val="24"/>
                <w:lang w:eastAsia="en-PH"/>
              </w:rPr>
              <w:t xml:space="preserve"> Generation Charge per </w:t>
            </w:r>
            <w:proofErr w:type="spellStart"/>
            <w:r w:rsidRPr="009043C4">
              <w:rPr>
                <w:rFonts w:ascii="Segoe UI" w:eastAsia="Times New Roman" w:hAnsi="Segoe UI" w:cs="Segoe UI"/>
                <w:sz w:val="24"/>
                <w:szCs w:val="24"/>
                <w:lang w:eastAsia="en-PH"/>
              </w:rPr>
              <w:t>kWH</w:t>
            </w:r>
            <w:proofErr w:type="spellEnd"/>
          </w:p>
        </w:tc>
        <w:tc>
          <w:tcPr>
            <w:tcW w:w="0" w:type="auto"/>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sz w:val="24"/>
                <w:szCs w:val="24"/>
                <w:lang w:eastAsia="en-PH"/>
              </w:rPr>
              <w:t>    3.70</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4.60</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4.08</w:t>
            </w:r>
          </w:p>
        </w:tc>
      </w:tr>
      <w:tr w:rsidR="009043C4" w:rsidRPr="009043C4" w:rsidTr="009043C4">
        <w:trPr>
          <w:trHeight w:val="285"/>
          <w:jc w:val="center"/>
        </w:trPr>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sz w:val="24"/>
                <w:szCs w:val="24"/>
                <w:lang w:eastAsia="en-PH"/>
              </w:rPr>
              <w:t>Diesel (PHP/</w:t>
            </w:r>
            <w:proofErr w:type="spellStart"/>
            <w:r w:rsidRPr="009043C4">
              <w:rPr>
                <w:rFonts w:ascii="Segoe UI" w:eastAsia="Times New Roman" w:hAnsi="Segoe UI" w:cs="Segoe UI"/>
                <w:sz w:val="24"/>
                <w:szCs w:val="24"/>
                <w:lang w:eastAsia="en-PH"/>
              </w:rPr>
              <w:t>litre</w:t>
            </w:r>
            <w:proofErr w:type="spellEnd"/>
            <w:r w:rsidRPr="009043C4">
              <w:rPr>
                <w:rFonts w:ascii="Segoe UI" w:eastAsia="Times New Roman" w:hAnsi="Segoe UI" w:cs="Segoe UI"/>
                <w:sz w:val="24"/>
                <w:szCs w:val="24"/>
                <w:lang w:eastAsia="en-PH"/>
              </w:rPr>
              <w:t>), NCR</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sz w:val="24"/>
                <w:szCs w:val="24"/>
                <w:lang w:eastAsia="en-PH"/>
              </w:rPr>
              <w:t>  30.89</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36.20</w:t>
            </w:r>
          </w:p>
        </w:tc>
        <w:tc>
          <w:tcPr>
            <w:tcW w:w="0" w:type="auto"/>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39.13</w:t>
            </w:r>
          </w:p>
        </w:tc>
      </w:tr>
      <w:tr w:rsidR="009043C4" w:rsidRPr="009043C4" w:rsidTr="009043C4">
        <w:trPr>
          <w:trHeight w:val="285"/>
          <w:jc w:val="center"/>
        </w:trPr>
        <w:tc>
          <w:tcPr>
            <w:tcW w:w="0" w:type="auto"/>
            <w:tcBorders>
              <w:top w:val="nil"/>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sz w:val="24"/>
                <w:szCs w:val="24"/>
                <w:lang w:eastAsia="en-PH"/>
              </w:rPr>
              <w:t>Gasoline, RON 95 (PHP/</w:t>
            </w:r>
            <w:proofErr w:type="spellStart"/>
            <w:r w:rsidRPr="009043C4">
              <w:rPr>
                <w:rFonts w:ascii="Segoe UI" w:eastAsia="Times New Roman" w:hAnsi="Segoe UI" w:cs="Segoe UI"/>
                <w:sz w:val="24"/>
                <w:szCs w:val="24"/>
                <w:lang w:eastAsia="en-PH"/>
              </w:rPr>
              <w:t>litre</w:t>
            </w:r>
            <w:proofErr w:type="spellEnd"/>
            <w:r w:rsidRPr="009043C4">
              <w:rPr>
                <w:rFonts w:ascii="Segoe UI" w:eastAsia="Times New Roman" w:hAnsi="Segoe UI" w:cs="Segoe UI"/>
                <w:sz w:val="24"/>
                <w:szCs w:val="24"/>
                <w:lang w:eastAsia="en-PH"/>
              </w:rPr>
              <w:t>), NCR</w:t>
            </w:r>
          </w:p>
        </w:tc>
        <w:tc>
          <w:tcPr>
            <w:tcW w:w="0" w:type="auto"/>
            <w:tcBorders>
              <w:top w:val="nil"/>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sz w:val="24"/>
                <w:szCs w:val="24"/>
                <w:lang w:eastAsia="en-PH"/>
              </w:rPr>
              <w:t>  47.34</w:t>
            </w:r>
          </w:p>
        </w:tc>
        <w:tc>
          <w:tcPr>
            <w:tcW w:w="0" w:type="auto"/>
            <w:tcBorders>
              <w:top w:val="nil"/>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48.12</w:t>
            </w:r>
          </w:p>
        </w:tc>
        <w:tc>
          <w:tcPr>
            <w:tcW w:w="0" w:type="auto"/>
            <w:tcBorders>
              <w:top w:val="nil"/>
              <w:left w:val="nil"/>
              <w:bottom w:val="single" w:sz="8" w:space="0" w:color="auto"/>
              <w:right w:val="nil"/>
            </w:tcBorders>
            <w:noWrap/>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color w:val="000000"/>
                <w:sz w:val="24"/>
                <w:szCs w:val="24"/>
                <w:lang w:eastAsia="en-PH"/>
              </w:rPr>
              <w:t>  50.48</w:t>
            </w:r>
          </w:p>
        </w:tc>
      </w:tr>
      <w:tr w:rsidR="009043C4" w:rsidRPr="009043C4" w:rsidTr="009043C4">
        <w:trPr>
          <w:trHeight w:val="285"/>
          <w:jc w:val="center"/>
        </w:trPr>
        <w:tc>
          <w:tcPr>
            <w:tcW w:w="0" w:type="auto"/>
            <w:tcBorders>
              <w:top w:val="nil"/>
              <w:left w:val="nil"/>
              <w:bottom w:val="single" w:sz="8" w:space="0" w:color="auto"/>
              <w:right w:val="nil"/>
            </w:tcBorders>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sz w:val="24"/>
                <w:szCs w:val="24"/>
                <w:lang w:eastAsia="en-PH"/>
              </w:rPr>
              <w:t xml:space="preserve">Sources of Basic Data: </w:t>
            </w:r>
            <w:proofErr w:type="spellStart"/>
            <w:r w:rsidRPr="009043C4">
              <w:rPr>
                <w:rFonts w:ascii="Segoe UI" w:eastAsia="Times New Roman" w:hAnsi="Segoe UI" w:cs="Segoe UI"/>
                <w:sz w:val="24"/>
                <w:szCs w:val="24"/>
                <w:lang w:eastAsia="en-PH"/>
              </w:rPr>
              <w:t>Meralco</w:t>
            </w:r>
            <w:proofErr w:type="spellEnd"/>
            <w:r w:rsidRPr="009043C4">
              <w:rPr>
                <w:rFonts w:ascii="Segoe UI" w:eastAsia="Times New Roman" w:hAnsi="Segoe UI" w:cs="Segoe UI"/>
                <w:sz w:val="24"/>
                <w:szCs w:val="24"/>
                <w:lang w:eastAsia="en-PH"/>
              </w:rPr>
              <w:t>, DOE</w:t>
            </w:r>
          </w:p>
        </w:tc>
        <w:tc>
          <w:tcPr>
            <w:tcW w:w="0" w:type="auto"/>
            <w:tcBorders>
              <w:top w:val="nil"/>
              <w:left w:val="nil"/>
              <w:bottom w:val="single" w:sz="8" w:space="0" w:color="auto"/>
              <w:right w:val="nil"/>
            </w:tcBorders>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sz w:val="24"/>
                <w:szCs w:val="24"/>
                <w:lang w:eastAsia="en-PH"/>
              </w:rPr>
              <w:t> </w:t>
            </w:r>
          </w:p>
        </w:tc>
        <w:tc>
          <w:tcPr>
            <w:tcW w:w="0" w:type="auto"/>
            <w:tcBorders>
              <w:top w:val="nil"/>
              <w:left w:val="nil"/>
              <w:bottom w:val="single" w:sz="8" w:space="0" w:color="auto"/>
              <w:right w:val="nil"/>
            </w:tcBorders>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sz w:val="24"/>
                <w:szCs w:val="24"/>
                <w:lang w:eastAsia="en-PH"/>
              </w:rPr>
              <w:t> </w:t>
            </w:r>
          </w:p>
        </w:tc>
        <w:tc>
          <w:tcPr>
            <w:tcW w:w="0" w:type="auto"/>
            <w:tcBorders>
              <w:top w:val="nil"/>
              <w:left w:val="nil"/>
              <w:bottom w:val="single" w:sz="8" w:space="0" w:color="auto"/>
              <w:right w:val="nil"/>
            </w:tcBorders>
            <w:tcMar>
              <w:top w:w="0" w:type="dxa"/>
              <w:left w:w="108" w:type="dxa"/>
              <w:bottom w:w="0" w:type="dxa"/>
              <w:right w:w="108" w:type="dxa"/>
            </w:tcMar>
            <w:vAlign w:val="bottom"/>
            <w:hideMark/>
          </w:tcPr>
          <w:p w:rsidR="009043C4" w:rsidRPr="009043C4" w:rsidRDefault="009043C4" w:rsidP="009043C4">
            <w:pPr>
              <w:spacing w:after="0" w:line="240" w:lineRule="auto"/>
              <w:rPr>
                <w:rFonts w:ascii="Arial" w:eastAsia="Times New Roman" w:hAnsi="Arial" w:cs="Arial"/>
                <w:sz w:val="24"/>
                <w:szCs w:val="24"/>
                <w:lang w:eastAsia="en-PH"/>
              </w:rPr>
            </w:pPr>
            <w:r w:rsidRPr="009043C4">
              <w:rPr>
                <w:rFonts w:ascii="Segoe UI" w:eastAsia="Times New Roman" w:hAnsi="Segoe UI" w:cs="Segoe UI"/>
                <w:sz w:val="24"/>
                <w:szCs w:val="24"/>
                <w:lang w:eastAsia="en-PH"/>
              </w:rPr>
              <w:t> </w:t>
            </w:r>
          </w:p>
        </w:tc>
      </w:tr>
    </w:tbl>
    <w:p w:rsidR="0069258B" w:rsidRDefault="0069258B"/>
    <w:sectPr w:rsidR="006925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4CE5"/>
    <w:multiLevelType w:val="hybridMultilevel"/>
    <w:tmpl w:val="87B23D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C4"/>
    <w:rsid w:val="0069258B"/>
    <w:rsid w:val="009043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CDE8D-E262-4C65-8F8C-32209BBA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77247875373942168m2337935200971123667gmail-msolistparagraph">
    <w:name w:val="m_-4677247875373942168m_2337935200971123667gmail-msolistparagraph"/>
    <w:basedOn w:val="Normal"/>
    <w:rsid w:val="009043C4"/>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90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2018-01-29T06:31:00Z</dcterms:created>
  <dcterms:modified xsi:type="dcterms:W3CDTF">2018-01-29T06:32:00Z</dcterms:modified>
</cp:coreProperties>
</file>