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F2" w:rsidRPr="00E201F2" w:rsidRDefault="00E201F2" w:rsidP="00E201F2">
      <w:pPr>
        <w:shd w:val="clear" w:color="auto" w:fill="FFFFFF"/>
        <w:spacing w:after="0" w:line="240" w:lineRule="auto"/>
        <w:jc w:val="both"/>
        <w:rPr>
          <w:rFonts w:ascii="Arial" w:eastAsia="Times New Roman" w:hAnsi="Arial" w:cs="Arial"/>
          <w:color w:val="222222"/>
          <w:sz w:val="24"/>
          <w:szCs w:val="24"/>
        </w:rPr>
      </w:pPr>
      <w:r w:rsidRPr="00E201F2">
        <w:rPr>
          <w:rFonts w:ascii="Arial" w:eastAsia="Times New Roman" w:hAnsi="Arial" w:cs="Arial"/>
          <w:color w:val="222222"/>
          <w:sz w:val="24"/>
          <w:szCs w:val="24"/>
        </w:rPr>
        <w:t>DOF Economic Bulletin on Inflation</w:t>
      </w:r>
    </w:p>
    <w:p w:rsidR="00E201F2" w:rsidRPr="00E201F2" w:rsidRDefault="00E201F2" w:rsidP="00E201F2">
      <w:pPr>
        <w:shd w:val="clear" w:color="auto" w:fill="FFFFFF"/>
        <w:spacing w:after="0" w:line="240" w:lineRule="auto"/>
        <w:jc w:val="both"/>
        <w:rPr>
          <w:rFonts w:ascii="Arial" w:eastAsia="Times New Roman" w:hAnsi="Arial" w:cs="Arial"/>
          <w:color w:val="222222"/>
          <w:sz w:val="24"/>
          <w:szCs w:val="24"/>
        </w:rPr>
      </w:pPr>
      <w:r w:rsidRPr="00E201F2">
        <w:rPr>
          <w:rFonts w:ascii="Arial" w:eastAsia="Times New Roman" w:hAnsi="Arial" w:cs="Arial"/>
          <w:color w:val="222222"/>
          <w:sz w:val="24"/>
          <w:szCs w:val="24"/>
        </w:rPr>
        <w:t>7 July 2015</w:t>
      </w:r>
    </w:p>
    <w:p w:rsidR="00E201F2" w:rsidRPr="00E201F2" w:rsidRDefault="00E201F2" w:rsidP="00E201F2">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201F2">
        <w:rPr>
          <w:rFonts w:ascii="Symbol" w:eastAsia="Times New Roman" w:hAnsi="Symbol" w:cs="Arial"/>
          <w:color w:val="222222"/>
          <w:sz w:val="24"/>
          <w:szCs w:val="24"/>
        </w:rPr>
        <w:t></w:t>
      </w:r>
      <w:r w:rsidRPr="00E201F2">
        <w:rPr>
          <w:rFonts w:ascii="Times New Roman" w:eastAsia="Times New Roman" w:hAnsi="Times New Roman" w:cs="Times New Roman"/>
          <w:color w:val="222222"/>
          <w:sz w:val="14"/>
          <w:szCs w:val="14"/>
        </w:rPr>
        <w:t>        </w:t>
      </w:r>
      <w:r w:rsidRPr="00E201F2">
        <w:rPr>
          <w:rFonts w:ascii="Times New Roman" w:eastAsia="Times New Roman" w:hAnsi="Times New Roman" w:cs="Times New Roman"/>
          <w:color w:val="222222"/>
          <w:sz w:val="14"/>
        </w:rPr>
        <w:t> </w:t>
      </w:r>
      <w:r w:rsidRPr="00E201F2">
        <w:rPr>
          <w:rFonts w:ascii="Arial" w:eastAsia="Times New Roman" w:hAnsi="Arial" w:cs="Arial"/>
          <w:color w:val="222222"/>
          <w:sz w:val="24"/>
          <w:szCs w:val="24"/>
        </w:rPr>
        <w:t>Inflation rate dipped to 1.2% in June, 0.2 percentage point lower than DOF's internal forecast of 1.4%. This is due to lower prices of housing, utilities and food items. Inflation rate has been below the lower bound of the official target of 2% for two consecutive months. A notable deceleration in price increase is in education, whose upward adjustment may be felt later in August when many schools will have changed the start of their academic years.</w:t>
      </w:r>
    </w:p>
    <w:p w:rsidR="00E201F2" w:rsidRPr="00E201F2" w:rsidRDefault="00E201F2" w:rsidP="00E201F2">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201F2">
        <w:rPr>
          <w:rFonts w:ascii="Symbol" w:eastAsia="Times New Roman" w:hAnsi="Symbol" w:cs="Arial"/>
          <w:color w:val="222222"/>
          <w:sz w:val="24"/>
          <w:szCs w:val="24"/>
        </w:rPr>
        <w:t></w:t>
      </w:r>
      <w:r w:rsidRPr="00E201F2">
        <w:rPr>
          <w:rFonts w:ascii="Times New Roman" w:eastAsia="Times New Roman" w:hAnsi="Times New Roman" w:cs="Times New Roman"/>
          <w:color w:val="222222"/>
          <w:sz w:val="14"/>
          <w:szCs w:val="14"/>
        </w:rPr>
        <w:t>        </w:t>
      </w:r>
      <w:r w:rsidRPr="00E201F2">
        <w:rPr>
          <w:rFonts w:ascii="Times New Roman" w:eastAsia="Times New Roman" w:hAnsi="Times New Roman" w:cs="Times New Roman"/>
          <w:color w:val="222222"/>
          <w:sz w:val="14"/>
        </w:rPr>
        <w:t> </w:t>
      </w:r>
      <w:r w:rsidRPr="00E201F2">
        <w:rPr>
          <w:rFonts w:ascii="Arial" w:eastAsia="Times New Roman" w:hAnsi="Arial" w:cs="Arial"/>
          <w:color w:val="222222"/>
          <w:sz w:val="24"/>
          <w:szCs w:val="24"/>
        </w:rPr>
        <w:t>For the second quarter of 2015, inflation rate averaged 1.7%, lower than the first quarter's 2.4% and the same quarter last year of 4.4%.</w:t>
      </w:r>
    </w:p>
    <w:p w:rsidR="00E201F2" w:rsidRPr="00E201F2" w:rsidRDefault="00E201F2" w:rsidP="00E201F2">
      <w:pPr>
        <w:shd w:val="clear" w:color="auto" w:fill="FFFFFF"/>
        <w:spacing w:after="0" w:line="240" w:lineRule="auto"/>
        <w:jc w:val="center"/>
        <w:rPr>
          <w:rFonts w:ascii="Arial" w:eastAsia="Times New Roman" w:hAnsi="Arial" w:cs="Arial"/>
          <w:color w:val="222222"/>
          <w:sz w:val="24"/>
          <w:szCs w:val="24"/>
        </w:rPr>
      </w:pPr>
      <w:r w:rsidRPr="00E201F2">
        <w:rPr>
          <w:rFonts w:ascii="Arial" w:eastAsia="Times New Roman" w:hAnsi="Arial" w:cs="Arial"/>
          <w:b/>
          <w:bCs/>
          <w:color w:val="222222"/>
          <w:sz w:val="24"/>
          <w:szCs w:val="24"/>
        </w:rPr>
        <w:t>Table 1: Inflation Rate and Contribution to Inflation Rate</w:t>
      </w:r>
    </w:p>
    <w:tbl>
      <w:tblPr>
        <w:tblW w:w="5000" w:type="pct"/>
        <w:shd w:val="clear" w:color="auto" w:fill="FFFFFF"/>
        <w:tblCellMar>
          <w:left w:w="0" w:type="dxa"/>
          <w:right w:w="0" w:type="dxa"/>
        </w:tblCellMar>
        <w:tblLook w:val="04A0"/>
      </w:tblPr>
      <w:tblGrid>
        <w:gridCol w:w="2575"/>
        <w:gridCol w:w="767"/>
        <w:gridCol w:w="837"/>
        <w:gridCol w:w="836"/>
        <w:gridCol w:w="267"/>
        <w:gridCol w:w="666"/>
        <w:gridCol w:w="786"/>
        <w:gridCol w:w="686"/>
        <w:gridCol w:w="267"/>
        <w:gridCol w:w="836"/>
        <w:gridCol w:w="267"/>
        <w:gridCol w:w="786"/>
      </w:tblGrid>
      <w:tr w:rsidR="00E201F2" w:rsidRPr="00E201F2" w:rsidTr="00E201F2">
        <w:trPr>
          <w:trHeight w:val="540"/>
        </w:trPr>
        <w:tc>
          <w:tcPr>
            <w:tcW w:w="1400" w:type="pct"/>
            <w:tcBorders>
              <w:top w:val="single" w:sz="8" w:space="0" w:color="auto"/>
              <w:left w:val="nil"/>
              <w:bottom w:val="nil"/>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2050" w:type="pct"/>
            <w:gridSpan w:val="6"/>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center"/>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Inflation Rate (%)</w:t>
            </w:r>
          </w:p>
        </w:tc>
        <w:tc>
          <w:tcPr>
            <w:tcW w:w="30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center"/>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w:t>
            </w:r>
          </w:p>
        </w:tc>
        <w:tc>
          <w:tcPr>
            <w:tcW w:w="150" w:type="pct"/>
            <w:tcBorders>
              <w:top w:val="single" w:sz="8" w:space="0" w:color="auto"/>
              <w:left w:val="nil"/>
              <w:bottom w:val="nil"/>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w:t>
            </w:r>
          </w:p>
        </w:tc>
        <w:tc>
          <w:tcPr>
            <w:tcW w:w="950" w:type="pct"/>
            <w:gridSpan w:val="3"/>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jc w:val="center"/>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Contribution to Inflation Rate (%)</w:t>
            </w:r>
          </w:p>
        </w:tc>
      </w:tr>
      <w:tr w:rsidR="00E201F2" w:rsidRPr="00E201F2" w:rsidTr="00E201F2">
        <w:trPr>
          <w:trHeight w:val="480"/>
        </w:trPr>
        <w:tc>
          <w:tcPr>
            <w:tcW w:w="140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COMMODITY GROUP</w:t>
            </w:r>
          </w:p>
        </w:tc>
        <w:tc>
          <w:tcPr>
            <w:tcW w:w="35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Jun-14</w:t>
            </w:r>
          </w:p>
        </w:tc>
        <w:tc>
          <w:tcPr>
            <w:tcW w:w="400"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May-15</w:t>
            </w:r>
          </w:p>
        </w:tc>
        <w:tc>
          <w:tcPr>
            <w:tcW w:w="400" w:type="pct"/>
            <w:tcBorders>
              <w:top w:val="single" w:sz="8" w:space="0" w:color="auto"/>
              <w:left w:val="nil"/>
              <w:bottom w:val="nil"/>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Jun-15</w:t>
            </w:r>
          </w:p>
        </w:tc>
        <w:tc>
          <w:tcPr>
            <w:tcW w:w="150" w:type="pct"/>
            <w:tcBorders>
              <w:top w:val="single" w:sz="8" w:space="0" w:color="auto"/>
              <w:left w:val="nil"/>
              <w:bottom w:val="nil"/>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2014 Q2</w:t>
            </w:r>
          </w:p>
        </w:tc>
        <w:tc>
          <w:tcPr>
            <w:tcW w:w="350"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2015 Q1</w:t>
            </w:r>
          </w:p>
        </w:tc>
        <w:tc>
          <w:tcPr>
            <w:tcW w:w="30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2015 Q2</w:t>
            </w:r>
          </w:p>
        </w:tc>
        <w:tc>
          <w:tcPr>
            <w:tcW w:w="15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Jun-15</w:t>
            </w:r>
          </w:p>
        </w:tc>
        <w:tc>
          <w:tcPr>
            <w:tcW w:w="150"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2015 Q2</w:t>
            </w:r>
          </w:p>
        </w:tc>
      </w:tr>
      <w:tr w:rsidR="00E201F2" w:rsidRPr="00E201F2" w:rsidTr="00E201F2">
        <w:trPr>
          <w:trHeight w:val="240"/>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All items</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4.4</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1.6</w:t>
            </w:r>
          </w:p>
        </w:tc>
        <w:tc>
          <w:tcPr>
            <w:tcW w:w="400" w:type="pct"/>
            <w:tcBorders>
              <w:top w:val="single" w:sz="8" w:space="0" w:color="auto"/>
              <w:left w:val="nil"/>
              <w:bottom w:val="nil"/>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1.2</w:t>
            </w:r>
          </w:p>
        </w:tc>
        <w:tc>
          <w:tcPr>
            <w:tcW w:w="150" w:type="pct"/>
            <w:tcBorders>
              <w:top w:val="single" w:sz="8" w:space="0" w:color="auto"/>
              <w:left w:val="nil"/>
              <w:bottom w:val="nil"/>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4.4</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2.4</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1.7</w:t>
            </w:r>
          </w:p>
        </w:tc>
        <w:tc>
          <w:tcPr>
            <w:tcW w:w="150" w:type="pct"/>
            <w:tcBorders>
              <w:top w:val="single" w:sz="8" w:space="0" w:color="auto"/>
              <w:left w:val="nil"/>
              <w:bottom w:val="nil"/>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1.2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1.7</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Food &amp; non-alcoholic beverages</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7.4</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3.2</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6.9</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4.8</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0.9</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1.3</w:t>
            </w:r>
          </w:p>
        </w:tc>
      </w:tr>
      <w:tr w:rsidR="00E201F2" w:rsidRPr="00E201F2" w:rsidTr="00E201F2">
        <w:trPr>
          <w:trHeight w:val="240"/>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Bread and Cereals</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11.1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2.6</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1.7</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10.5</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5.7</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2.7</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0.4</w:t>
            </w:r>
          </w:p>
        </w:tc>
      </w:tr>
      <w:tr w:rsidR="00E201F2" w:rsidRPr="00E201F2" w:rsidTr="00E201F2">
        <w:trPr>
          <w:trHeight w:val="240"/>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ind w:firstLine="36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Rice</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14.0</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3.2</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13.3</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7.2</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3.3</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0.4</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Alcoholic beverages &amp; Tobacco</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3.7</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3.7</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3.8</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3.9</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4.0</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3.8</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r>
      <w:tr w:rsidR="00E201F2" w:rsidRPr="00E201F2" w:rsidTr="00E201F2">
        <w:trPr>
          <w:trHeight w:val="240"/>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Alcoholic Beverages</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4.3</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2.9</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4.6</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3.5</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Clothing and footwear</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3.4</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2.6</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2.5</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3.4</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3.1</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2.6</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r>
      <w:tr w:rsidR="00E201F2" w:rsidRPr="00E201F2" w:rsidTr="00E201F2">
        <w:trPr>
          <w:trHeight w:val="255"/>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Housing, Utilities &amp; Fuels</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2.3</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(1.5)</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(1.3)</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3.0</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(1.2)</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(0.3)</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(0.2)</w:t>
            </w:r>
          </w:p>
        </w:tc>
      </w:tr>
      <w:tr w:rsidR="00E201F2" w:rsidRPr="00E201F2" w:rsidTr="00E201F2">
        <w:trPr>
          <w:trHeight w:val="240"/>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ind w:firstLine="36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Actual Rentals for Housing</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1.7</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2.7</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2.5</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1.6</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3.0</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2.7</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0.3</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0.3</w:t>
            </w:r>
          </w:p>
        </w:tc>
      </w:tr>
      <w:tr w:rsidR="00E201F2" w:rsidRPr="00E201F2" w:rsidTr="00E201F2">
        <w:trPr>
          <w:trHeight w:val="240"/>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ind w:firstLine="36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Electricity, Gas &amp; Other Fuels</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3.4</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(9.1)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(9.0)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5.5</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(8.7)</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(8.2)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(0.7)</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(0.6)</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Furnishings, household eqt.</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2.6</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2.2</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1.9</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2.5</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2.2</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Health</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2.3</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3.3</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2.6</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2.3</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Transport</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1.3</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1.4</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(0.7)</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Communication</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Recreation and Culture</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1.2</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2.0</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1.2</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0.0</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Education</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5.0</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5.1</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3.7</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4.8</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5.1</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4.6</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0.2</w:t>
            </w:r>
          </w:p>
        </w:tc>
      </w:tr>
      <w:tr w:rsidR="00E201F2" w:rsidRPr="00E201F2" w:rsidTr="00E201F2">
        <w:trPr>
          <w:trHeight w:val="240"/>
        </w:trPr>
        <w:tc>
          <w:tcPr>
            <w:tcW w:w="1400" w:type="pct"/>
            <w:shd w:val="clear" w:color="auto" w:fill="FFFFFF"/>
            <w:tcMar>
              <w:top w:w="0" w:type="dxa"/>
              <w:left w:w="108" w:type="dxa"/>
              <w:bottom w:w="0" w:type="dxa"/>
              <w:right w:w="108" w:type="dxa"/>
            </w:tcMar>
            <w:vAlign w:val="bottom"/>
            <w:hideMark/>
          </w:tcPr>
          <w:p w:rsidR="00E201F2" w:rsidRPr="00E201F2" w:rsidRDefault="00E201F2" w:rsidP="00E201F2">
            <w:pPr>
              <w:spacing w:after="0" w:line="240" w:lineRule="auto"/>
              <w:ind w:firstLine="180"/>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Restaurants &amp; Misc. Services</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1.9</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1.2</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1.9</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1.5</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1.2</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0.1</w:t>
            </w:r>
          </w:p>
        </w:tc>
      </w:tr>
      <w:tr w:rsidR="00E201F2" w:rsidRPr="00E201F2" w:rsidTr="00E201F2">
        <w:trPr>
          <w:trHeight w:val="105"/>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105" w:lineRule="atLeast"/>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r>
      <w:tr w:rsidR="00E201F2" w:rsidRPr="00E201F2" w:rsidTr="00E201F2">
        <w:trPr>
          <w:trHeight w:val="240"/>
        </w:trPr>
        <w:tc>
          <w:tcPr>
            <w:tcW w:w="1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Core Inflation</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4.7</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1.8</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color w:val="222222"/>
                <w:sz w:val="24"/>
                <w:szCs w:val="24"/>
              </w:rPr>
            </w:pPr>
            <w:r w:rsidRPr="00E201F2">
              <w:rPr>
                <w:rFonts w:ascii="Arial" w:eastAsia="Times New Roman" w:hAnsi="Arial" w:cs="Arial"/>
                <w:b/>
                <w:bCs/>
                <w:color w:val="222222"/>
                <w:sz w:val="18"/>
                <w:szCs w:val="18"/>
              </w:rPr>
              <w:t>1.4</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3.6</w:t>
            </w:r>
          </w:p>
        </w:tc>
        <w:tc>
          <w:tcPr>
            <w:tcW w:w="35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2.5</w:t>
            </w:r>
          </w:p>
        </w:tc>
        <w:tc>
          <w:tcPr>
            <w:tcW w:w="3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b/>
                <w:bCs/>
                <w:color w:val="000000"/>
                <w:sz w:val="18"/>
                <w:szCs w:val="18"/>
              </w:rPr>
              <w:t>   1.9</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1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r>
      <w:tr w:rsidR="00E201F2" w:rsidRPr="00E201F2" w:rsidTr="00E201F2">
        <w:trPr>
          <w:trHeight w:val="240"/>
        </w:trPr>
        <w:tc>
          <w:tcPr>
            <w:tcW w:w="140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Source of Basic Data: NSO</w:t>
            </w:r>
          </w:p>
        </w:tc>
        <w:tc>
          <w:tcPr>
            <w:tcW w:w="35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15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00" w:type="pct"/>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15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40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15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c>
          <w:tcPr>
            <w:tcW w:w="35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color w:val="222222"/>
                <w:sz w:val="24"/>
                <w:szCs w:val="24"/>
              </w:rPr>
            </w:pPr>
            <w:r w:rsidRPr="00E201F2">
              <w:rPr>
                <w:rFonts w:ascii="Arial" w:eastAsia="Times New Roman" w:hAnsi="Arial" w:cs="Arial"/>
                <w:color w:val="000000"/>
                <w:sz w:val="18"/>
                <w:szCs w:val="18"/>
              </w:rPr>
              <w:t> </w:t>
            </w:r>
          </w:p>
        </w:tc>
      </w:tr>
    </w:tbl>
    <w:p w:rsidR="00E201F2" w:rsidRPr="00E201F2" w:rsidRDefault="00E201F2" w:rsidP="00E201F2">
      <w:pPr>
        <w:shd w:val="clear" w:color="auto" w:fill="FFFFFF"/>
        <w:spacing w:after="0" w:line="240" w:lineRule="auto"/>
        <w:jc w:val="both"/>
        <w:rPr>
          <w:rFonts w:ascii="Arial" w:eastAsia="Times New Roman" w:hAnsi="Arial" w:cs="Arial"/>
          <w:color w:val="222222"/>
          <w:sz w:val="24"/>
          <w:szCs w:val="24"/>
        </w:rPr>
      </w:pPr>
      <w:r w:rsidRPr="00E201F2">
        <w:rPr>
          <w:rFonts w:ascii="Arial" w:eastAsia="Times New Roman" w:hAnsi="Arial" w:cs="Arial"/>
          <w:color w:val="222222"/>
          <w:sz w:val="24"/>
          <w:szCs w:val="24"/>
        </w:rPr>
        <w:lastRenderedPageBreak/>
        <w:t> </w:t>
      </w:r>
    </w:p>
    <w:p w:rsidR="00E201F2" w:rsidRPr="00E201F2" w:rsidRDefault="00E201F2" w:rsidP="00E201F2">
      <w:pPr>
        <w:shd w:val="clear" w:color="auto" w:fill="FFFFFF"/>
        <w:spacing w:after="0" w:line="240" w:lineRule="auto"/>
        <w:jc w:val="center"/>
        <w:rPr>
          <w:rFonts w:ascii="Arial" w:eastAsia="Times New Roman" w:hAnsi="Arial" w:cs="Arial"/>
          <w:color w:val="222222"/>
          <w:sz w:val="24"/>
          <w:szCs w:val="24"/>
        </w:rPr>
      </w:pPr>
      <w:r w:rsidRPr="00E201F2">
        <w:rPr>
          <w:rFonts w:ascii="Arial" w:eastAsia="Times New Roman" w:hAnsi="Arial" w:cs="Arial"/>
          <w:color w:val="222222"/>
          <w:sz w:val="24"/>
          <w:szCs w:val="24"/>
        </w:rPr>
        <w:t>Table 2: Prices of Selected Commodities</w:t>
      </w:r>
    </w:p>
    <w:tbl>
      <w:tblPr>
        <w:tblW w:w="0" w:type="auto"/>
        <w:jc w:val="center"/>
        <w:tblInd w:w="93" w:type="dxa"/>
        <w:tblCellMar>
          <w:left w:w="0" w:type="dxa"/>
          <w:right w:w="0" w:type="dxa"/>
        </w:tblCellMar>
        <w:tblLook w:val="04A0"/>
      </w:tblPr>
      <w:tblGrid>
        <w:gridCol w:w="5320"/>
        <w:gridCol w:w="1002"/>
        <w:gridCol w:w="957"/>
        <w:gridCol w:w="1056"/>
      </w:tblGrid>
      <w:tr w:rsidR="00E201F2" w:rsidRPr="00E201F2" w:rsidTr="00E201F2">
        <w:trPr>
          <w:trHeight w:val="300"/>
          <w:jc w:val="center"/>
        </w:trPr>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E201F2" w:rsidRPr="00E201F2" w:rsidRDefault="00E201F2" w:rsidP="00E201F2">
            <w:pPr>
              <w:spacing w:after="0" w:line="240" w:lineRule="auto"/>
              <w:jc w:val="center"/>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Item</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Jun-14</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E201F2" w:rsidRPr="00E201F2" w:rsidRDefault="00E201F2" w:rsidP="00E201F2">
            <w:pPr>
              <w:spacing w:after="0" w:line="240" w:lineRule="auto"/>
              <w:jc w:val="center"/>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May-15</w:t>
            </w:r>
          </w:p>
        </w:tc>
        <w:tc>
          <w:tcPr>
            <w:tcW w:w="0" w:type="auto"/>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E201F2" w:rsidRPr="00E201F2" w:rsidRDefault="00E201F2" w:rsidP="00E201F2">
            <w:pPr>
              <w:spacing w:after="0" w:line="240" w:lineRule="auto"/>
              <w:jc w:val="center"/>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Jun-15</w:t>
            </w:r>
          </w:p>
        </w:tc>
      </w:tr>
      <w:tr w:rsidR="00E201F2" w:rsidRPr="00E201F2" w:rsidTr="00E201F2">
        <w:trPr>
          <w:trHeight w:val="315"/>
          <w:jc w:val="center"/>
        </w:trPr>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Meralco (rate per kWH for 300KW/mo consumption)</w:t>
            </w:r>
          </w:p>
        </w:tc>
        <w:tc>
          <w:tcPr>
            <w:tcW w:w="0" w:type="auto"/>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10.96</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10.35</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Times New Roman" w:eastAsia="Times New Roman" w:hAnsi="Times New Roman" w:cs="Times New Roman"/>
                <w:sz w:val="24"/>
                <w:szCs w:val="24"/>
              </w:rPr>
              <w:t>       9.77</w:t>
            </w:r>
          </w:p>
        </w:tc>
      </w:tr>
      <w:tr w:rsidR="00E201F2" w:rsidRPr="00E201F2" w:rsidTr="00E201F2">
        <w:trPr>
          <w:trHeight w:val="315"/>
          <w:jc w:val="center"/>
        </w:trPr>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NCR Big Three Diesel Pump Price</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42.90</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31.05</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Arial" w:eastAsia="Times New Roman" w:hAnsi="Arial" w:cs="Arial"/>
                <w:sz w:val="18"/>
                <w:szCs w:val="18"/>
              </w:rPr>
              <w:t>     30.39</w:t>
            </w:r>
          </w:p>
        </w:tc>
      </w:tr>
      <w:tr w:rsidR="00E201F2" w:rsidRPr="00E201F2" w:rsidTr="00E201F2">
        <w:trPr>
          <w:trHeight w:val="330"/>
          <w:jc w:val="center"/>
        </w:trPr>
        <w:tc>
          <w:tcPr>
            <w:tcW w:w="0" w:type="auto"/>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Dubai crude oil (USD/barrel)</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108.01</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63.69</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61.78</w:t>
            </w:r>
          </w:p>
        </w:tc>
      </w:tr>
      <w:tr w:rsidR="00E201F2" w:rsidRPr="00E201F2" w:rsidTr="00E201F2">
        <w:trPr>
          <w:trHeight w:val="315"/>
          <w:jc w:val="center"/>
        </w:trPr>
        <w:tc>
          <w:tcPr>
            <w:tcW w:w="0" w:type="auto"/>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Regular Milled Rice (PHP/kg)</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39.42</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37.35</w:t>
            </w:r>
          </w:p>
        </w:tc>
        <w:tc>
          <w:tcPr>
            <w:tcW w:w="0" w:type="auto"/>
            <w:noWrap/>
            <w:tcMar>
              <w:top w:w="0" w:type="dxa"/>
              <w:left w:w="108" w:type="dxa"/>
              <w:bottom w:w="0" w:type="dxa"/>
              <w:right w:w="108" w:type="dxa"/>
            </w:tcMar>
            <w:vAlign w:val="bottom"/>
            <w:hideMark/>
          </w:tcPr>
          <w:p w:rsidR="00E201F2" w:rsidRPr="00E201F2" w:rsidRDefault="00E201F2" w:rsidP="00E201F2">
            <w:pPr>
              <w:spacing w:after="0" w:line="240" w:lineRule="auto"/>
              <w:jc w:val="right"/>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    37.31</w:t>
            </w:r>
          </w:p>
        </w:tc>
      </w:tr>
      <w:tr w:rsidR="00E201F2" w:rsidRPr="00E201F2" w:rsidTr="00E201F2">
        <w:trPr>
          <w:trHeight w:val="315"/>
          <w:jc w:val="center"/>
        </w:trPr>
        <w:tc>
          <w:tcPr>
            <w:tcW w:w="0" w:type="auto"/>
            <w:gridSpan w:val="4"/>
            <w:tcBorders>
              <w:top w:val="single" w:sz="8" w:space="0" w:color="auto"/>
              <w:left w:val="nil"/>
              <w:bottom w:val="single" w:sz="8" w:space="0" w:color="auto"/>
              <w:right w:val="nil"/>
            </w:tcBorders>
            <w:tcMar>
              <w:top w:w="0" w:type="dxa"/>
              <w:left w:w="108" w:type="dxa"/>
              <w:bottom w:w="0" w:type="dxa"/>
              <w:right w:w="108" w:type="dxa"/>
            </w:tcMar>
            <w:vAlign w:val="bottom"/>
            <w:hideMark/>
          </w:tcPr>
          <w:p w:rsidR="00E201F2" w:rsidRPr="00E201F2" w:rsidRDefault="00E201F2" w:rsidP="00E201F2">
            <w:pPr>
              <w:spacing w:after="0" w:line="240" w:lineRule="auto"/>
              <w:rPr>
                <w:rFonts w:ascii="Times New Roman" w:eastAsia="Times New Roman" w:hAnsi="Times New Roman" w:cs="Times New Roman"/>
                <w:sz w:val="24"/>
                <w:szCs w:val="24"/>
              </w:rPr>
            </w:pPr>
            <w:r w:rsidRPr="00E201F2">
              <w:rPr>
                <w:rFonts w:ascii="Estrangelo Edessa" w:eastAsia="Times New Roman" w:hAnsi="Estrangelo Edessa" w:cs="Estrangelo Edessa"/>
                <w:sz w:val="24"/>
                <w:szCs w:val="24"/>
              </w:rPr>
              <w:t>Sources: Meralco, DOE, World Bank, BAS</w:t>
            </w:r>
          </w:p>
        </w:tc>
      </w:tr>
    </w:tbl>
    <w:p w:rsidR="00522E98" w:rsidRDefault="00522E98" w:rsidP="00E201F2">
      <w:pPr>
        <w:shd w:val="clear" w:color="auto" w:fill="FFFFFF"/>
        <w:spacing w:after="0" w:line="240" w:lineRule="auto"/>
        <w:jc w:val="both"/>
        <w:rPr>
          <w:rFonts w:ascii="Arial" w:eastAsia="Times New Roman" w:hAnsi="Arial" w:cs="Arial"/>
          <w:color w:val="222222"/>
          <w:sz w:val="24"/>
          <w:szCs w:val="24"/>
        </w:rPr>
      </w:pPr>
    </w:p>
    <w:p w:rsidR="00E201F2" w:rsidRPr="00E201F2" w:rsidRDefault="00E201F2" w:rsidP="00E201F2">
      <w:pPr>
        <w:shd w:val="clear" w:color="auto" w:fill="FFFFFF"/>
        <w:spacing w:after="0" w:line="240" w:lineRule="auto"/>
        <w:jc w:val="both"/>
        <w:rPr>
          <w:rFonts w:ascii="Arial" w:eastAsia="Times New Roman" w:hAnsi="Arial" w:cs="Arial"/>
          <w:color w:val="222222"/>
          <w:sz w:val="24"/>
          <w:szCs w:val="24"/>
        </w:rPr>
      </w:pPr>
      <w:r w:rsidRPr="00E201F2">
        <w:rPr>
          <w:rFonts w:ascii="Arial" w:eastAsia="Times New Roman" w:hAnsi="Arial" w:cs="Arial"/>
          <w:color w:val="222222"/>
          <w:sz w:val="24"/>
          <w:szCs w:val="24"/>
        </w:rPr>
        <w:t>DOF View</w:t>
      </w:r>
    </w:p>
    <w:p w:rsidR="00E201F2" w:rsidRPr="00E201F2" w:rsidRDefault="00E201F2" w:rsidP="00E201F2">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201F2">
        <w:rPr>
          <w:rFonts w:ascii="Symbol" w:eastAsia="Times New Roman" w:hAnsi="Symbol" w:cs="Arial"/>
          <w:color w:val="222222"/>
          <w:sz w:val="24"/>
          <w:szCs w:val="24"/>
        </w:rPr>
        <w:t></w:t>
      </w:r>
      <w:r w:rsidRPr="00E201F2">
        <w:rPr>
          <w:rFonts w:ascii="Times New Roman" w:eastAsia="Times New Roman" w:hAnsi="Times New Roman" w:cs="Times New Roman"/>
          <w:color w:val="222222"/>
          <w:sz w:val="14"/>
          <w:szCs w:val="14"/>
        </w:rPr>
        <w:t>        </w:t>
      </w:r>
      <w:r w:rsidRPr="00E201F2">
        <w:rPr>
          <w:rFonts w:ascii="Times New Roman" w:eastAsia="Times New Roman" w:hAnsi="Times New Roman" w:cs="Times New Roman"/>
          <w:color w:val="222222"/>
          <w:sz w:val="14"/>
        </w:rPr>
        <w:t> </w:t>
      </w:r>
      <w:r w:rsidRPr="00E201F2">
        <w:rPr>
          <w:rFonts w:ascii="Arial" w:eastAsia="Times New Roman" w:hAnsi="Arial" w:cs="Arial"/>
          <w:color w:val="222222"/>
          <w:sz w:val="24"/>
          <w:szCs w:val="24"/>
        </w:rPr>
        <w:t>The government should continue the effort to tame food price increases and its volatilities especially as the effects of the El Niño phenomenon are felt in many provinces.</w:t>
      </w:r>
    </w:p>
    <w:p w:rsidR="00E201F2" w:rsidRPr="00E201F2" w:rsidRDefault="00E201F2" w:rsidP="00E201F2">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E201F2">
        <w:rPr>
          <w:rFonts w:ascii="Symbol" w:eastAsia="Times New Roman" w:hAnsi="Symbol" w:cs="Arial"/>
          <w:color w:val="222222"/>
          <w:sz w:val="24"/>
          <w:szCs w:val="24"/>
        </w:rPr>
        <w:t></w:t>
      </w:r>
      <w:r w:rsidRPr="00E201F2">
        <w:rPr>
          <w:rFonts w:ascii="Times New Roman" w:eastAsia="Times New Roman" w:hAnsi="Times New Roman" w:cs="Times New Roman"/>
          <w:color w:val="222222"/>
          <w:sz w:val="14"/>
          <w:szCs w:val="14"/>
        </w:rPr>
        <w:t>        </w:t>
      </w:r>
      <w:r w:rsidRPr="00E201F2">
        <w:rPr>
          <w:rFonts w:ascii="Times New Roman" w:eastAsia="Times New Roman" w:hAnsi="Times New Roman" w:cs="Times New Roman"/>
          <w:color w:val="222222"/>
          <w:sz w:val="14"/>
        </w:rPr>
        <w:t> </w:t>
      </w:r>
      <w:r w:rsidRPr="00E201F2">
        <w:rPr>
          <w:rFonts w:ascii="Arial" w:eastAsia="Times New Roman" w:hAnsi="Arial" w:cs="Arial"/>
          <w:color w:val="222222"/>
          <w:sz w:val="24"/>
          <w:szCs w:val="24"/>
        </w:rPr>
        <w:t>For the first semester of 2015, inflation rate averaged 2% so as to approach the lower bound of the official target. This development, however, is due, in part, to external events beyond the control of policy makers. The trend may be reversed in the near future. As such, the government should take advantage of the currently lower energy prices and adjust gasoline taxes before international oil prices resume their upward trend.</w:t>
      </w:r>
    </w:p>
    <w:p w:rsidR="00C62806" w:rsidRDefault="00C62806"/>
    <w:sectPr w:rsidR="00C62806" w:rsidSect="005554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E201F2"/>
    <w:rsid w:val="00522E98"/>
    <w:rsid w:val="00555415"/>
    <w:rsid w:val="00C62806"/>
    <w:rsid w:val="00E20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01F2"/>
  </w:style>
  <w:style w:type="character" w:customStyle="1" w:styleId="il">
    <w:name w:val="il"/>
    <w:basedOn w:val="DefaultParagraphFont"/>
    <w:rsid w:val="00E201F2"/>
  </w:style>
  <w:style w:type="paragraph" w:styleId="NormalWeb">
    <w:name w:val="Normal (Web)"/>
    <w:basedOn w:val="Normal"/>
    <w:uiPriority w:val="99"/>
    <w:semiHidden/>
    <w:unhideWhenUsed/>
    <w:rsid w:val="00E20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6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Company>Hewlett-Packard Company</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Ena Escanan</cp:lastModifiedBy>
  <cp:revision>3</cp:revision>
  <dcterms:created xsi:type="dcterms:W3CDTF">2015-07-08T03:21:00Z</dcterms:created>
  <dcterms:modified xsi:type="dcterms:W3CDTF">2015-07-23T04:19:00Z</dcterms:modified>
</cp:coreProperties>
</file>