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BBA" w:rsidRPr="009911DF" w:rsidRDefault="005E1BBA" w:rsidP="005E1B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911DF">
        <w:rPr>
          <w:rFonts w:ascii="Arial" w:eastAsia="Times New Roman" w:hAnsi="Arial" w:cs="Arial"/>
          <w:b/>
          <w:bCs/>
          <w:color w:val="222222"/>
          <w:sz w:val="24"/>
          <w:szCs w:val="24"/>
        </w:rPr>
        <w:t>DOF Economic Bulletin on Revenue Performance</w:t>
      </w:r>
    </w:p>
    <w:p w:rsidR="005E1BBA" w:rsidRPr="009911DF" w:rsidRDefault="005E1BBA" w:rsidP="005E1B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911DF">
        <w:rPr>
          <w:rFonts w:ascii="Arial" w:eastAsia="Times New Roman" w:hAnsi="Arial" w:cs="Arial"/>
          <w:color w:val="222222"/>
          <w:sz w:val="24"/>
          <w:szCs w:val="24"/>
        </w:rPr>
        <w:t>2 June 2015</w:t>
      </w:r>
    </w:p>
    <w:p w:rsidR="005E1BBA" w:rsidRPr="009911DF" w:rsidRDefault="005E1BBA" w:rsidP="005E1B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911DF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5E1BBA" w:rsidRPr="009911DF" w:rsidRDefault="005E1BBA" w:rsidP="005E1B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9911DF">
        <w:rPr>
          <w:rFonts w:ascii="Arial" w:eastAsia="Times New Roman" w:hAnsi="Arial" w:cs="Arial"/>
          <w:color w:val="222222"/>
          <w:sz w:val="24"/>
          <w:szCs w:val="24"/>
        </w:rPr>
        <w:t>Revenues grew by 18.1% in the first quarter of 2015, outstripping the 5.5% growth in nominal GDP. Both tax and non-tax revenues grew at double-digit rates.</w:t>
      </w:r>
    </w:p>
    <w:p w:rsidR="005E1BBA" w:rsidRPr="009911DF" w:rsidRDefault="005E1BBA" w:rsidP="005E1B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9911DF">
        <w:rPr>
          <w:rFonts w:ascii="Arial" w:eastAsia="Times New Roman" w:hAnsi="Arial" w:cs="Arial"/>
          <w:color w:val="222222"/>
          <w:sz w:val="24"/>
          <w:szCs w:val="24"/>
        </w:rPr>
        <w:t xml:space="preserve">Tax revenues rose </w:t>
      </w:r>
      <w:proofErr w:type="gramStart"/>
      <w:r w:rsidRPr="009911DF">
        <w:rPr>
          <w:rFonts w:ascii="Arial" w:eastAsia="Times New Roman" w:hAnsi="Arial" w:cs="Arial"/>
          <w:color w:val="222222"/>
          <w:sz w:val="24"/>
          <w:szCs w:val="24"/>
        </w:rPr>
        <w:t>by  13.4</w:t>
      </w:r>
      <w:proofErr w:type="gramEnd"/>
      <w:r w:rsidRPr="009911DF">
        <w:rPr>
          <w:rFonts w:ascii="Arial" w:eastAsia="Times New Roman" w:hAnsi="Arial" w:cs="Arial"/>
          <w:color w:val="222222"/>
          <w:sz w:val="24"/>
          <w:szCs w:val="24"/>
        </w:rPr>
        <w:t xml:space="preserve">% with BIR collections rising by 16.0% and BOC collections expanding by 6.7%, likewise exceeding the nominal GDP growth.  </w:t>
      </w:r>
      <w:proofErr w:type="gramStart"/>
      <w:r w:rsidRPr="009911DF">
        <w:rPr>
          <w:rFonts w:ascii="Arial" w:eastAsia="Times New Roman" w:hAnsi="Arial" w:cs="Arial"/>
          <w:color w:val="222222"/>
          <w:sz w:val="24"/>
          <w:szCs w:val="24"/>
        </w:rPr>
        <w:t>Meanwhile, collections of other offices declined by 12% due to lower motor vehicle tax and immigration tax.</w:t>
      </w:r>
      <w:proofErr w:type="gramEnd"/>
    </w:p>
    <w:p w:rsidR="005E1BBA" w:rsidRPr="009911DF" w:rsidRDefault="005E1BBA" w:rsidP="005E1B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9911DF">
        <w:rPr>
          <w:rFonts w:ascii="Arial" w:eastAsia="Times New Roman" w:hAnsi="Arial" w:cs="Arial"/>
          <w:color w:val="222222"/>
          <w:sz w:val="24"/>
          <w:szCs w:val="24"/>
        </w:rPr>
        <w:t xml:space="preserve">Non-tax revenues grew by 56.6 percent as </w:t>
      </w:r>
      <w:proofErr w:type="spellStart"/>
      <w:r w:rsidRPr="009911DF">
        <w:rPr>
          <w:rFonts w:ascii="Arial" w:eastAsia="Times New Roman" w:hAnsi="Arial" w:cs="Arial"/>
          <w:color w:val="222222"/>
          <w:sz w:val="24"/>
          <w:szCs w:val="24"/>
        </w:rPr>
        <w:t>BTr</w:t>
      </w:r>
      <w:proofErr w:type="spellEnd"/>
      <w:r w:rsidRPr="009911DF">
        <w:rPr>
          <w:rFonts w:ascii="Arial" w:eastAsia="Times New Roman" w:hAnsi="Arial" w:cs="Arial"/>
          <w:color w:val="222222"/>
          <w:sz w:val="24"/>
          <w:szCs w:val="24"/>
        </w:rPr>
        <w:t xml:space="preserve"> income rose by 80.7%, from P21.0 billion to P37.9 billion and others by 41.14% (from P20.8 billion to P29.4 billion).</w:t>
      </w:r>
    </w:p>
    <w:p w:rsidR="005E1BBA" w:rsidRPr="009911DF" w:rsidRDefault="005E1BBA" w:rsidP="005E1B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911DF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tbl>
      <w:tblPr>
        <w:tblW w:w="7000" w:type="dxa"/>
        <w:tblInd w:w="9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060"/>
        <w:gridCol w:w="1244"/>
        <w:gridCol w:w="1244"/>
        <w:gridCol w:w="990"/>
      </w:tblGrid>
      <w:tr w:rsidR="005E1BBA" w:rsidRPr="009911DF" w:rsidTr="005E1BBA">
        <w:trPr>
          <w:trHeight w:val="255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Table 1. REVENUES , January-March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5E1BBA" w:rsidRPr="009911DF" w:rsidTr="005E1BBA">
        <w:trPr>
          <w:trHeight w:val="40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% Growth</w:t>
            </w:r>
          </w:p>
        </w:tc>
      </w:tr>
      <w:tr w:rsidR="005E1BBA" w:rsidRPr="009911DF" w:rsidTr="005E1BBA">
        <w:trPr>
          <w:trHeight w:val="405"/>
        </w:trPr>
        <w:tc>
          <w:tcPr>
            <w:tcW w:w="4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0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      P billion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5E1BBA" w:rsidRPr="009911DF" w:rsidTr="005E1BBA">
        <w:trPr>
          <w:trHeight w:val="420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TOTAL REVENUES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    398.4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    470.5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18.1%</w:t>
            </w:r>
          </w:p>
        </w:tc>
      </w:tr>
      <w:tr w:rsidR="005E1BBA" w:rsidRPr="009911DF" w:rsidTr="005E1BBA">
        <w:trPr>
          <w:trHeight w:val="360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TAX REVENUES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    355.2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    402.9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13.4%</w:t>
            </w:r>
          </w:p>
        </w:tc>
      </w:tr>
      <w:tr w:rsidR="005E1BBA" w:rsidRPr="009911DF" w:rsidTr="005E1BBA">
        <w:trPr>
          <w:trHeight w:val="31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   BIR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264.7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307.1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16.0%</w:t>
            </w:r>
          </w:p>
        </w:tc>
      </w:tr>
      <w:tr w:rsidR="005E1BBA" w:rsidRPr="009911DF" w:rsidTr="005E1BBA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   BOC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86.5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92.3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6.7%</w:t>
            </w:r>
          </w:p>
        </w:tc>
      </w:tr>
      <w:tr w:rsidR="005E1BBA" w:rsidRPr="009911DF" w:rsidTr="005E1BBA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  OTHER OFFICES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       4.0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       3.5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-12.0%</w:t>
            </w:r>
          </w:p>
        </w:tc>
      </w:tr>
      <w:tr w:rsidR="005E1BBA" w:rsidRPr="009911DF" w:rsidTr="005E1BBA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NON-TAX REVENUES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     43.2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     67.6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56.6%</w:t>
            </w:r>
          </w:p>
        </w:tc>
      </w:tr>
      <w:tr w:rsidR="005E1BBA" w:rsidRPr="009911DF" w:rsidTr="005E1BBA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</w:tr>
      <w:tr w:rsidR="005E1BBA" w:rsidRPr="009911DF" w:rsidTr="005E1BBA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EXPENDITURES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      482.5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      504.0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4.5%</w:t>
            </w:r>
          </w:p>
        </w:tc>
      </w:tr>
      <w:tr w:rsidR="005E1BBA" w:rsidRPr="009911DF" w:rsidTr="005E1BBA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 </w:t>
            </w:r>
          </w:p>
        </w:tc>
        <w:tc>
          <w:tcPr>
            <w:tcW w:w="98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E1BBA" w:rsidRPr="009911DF" w:rsidTr="005E1BBA">
        <w:trPr>
          <w:trHeight w:val="330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NG BALANCE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      (84.1)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      (33.5)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-60.2%</w:t>
            </w:r>
          </w:p>
        </w:tc>
      </w:tr>
    </w:tbl>
    <w:p w:rsidR="005E1BBA" w:rsidRPr="009911DF" w:rsidRDefault="005E1BBA" w:rsidP="005E1B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911DF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5E1BBA" w:rsidRPr="009911DF" w:rsidRDefault="005E1BBA" w:rsidP="005E1B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911DF">
        <w:rPr>
          <w:rFonts w:ascii="Arial" w:eastAsia="Times New Roman" w:hAnsi="Arial" w:cs="Arial"/>
          <w:color w:val="222222"/>
          <w:sz w:val="24"/>
          <w:szCs w:val="24"/>
        </w:rPr>
        <w:t>Expenditures grew by only 4.5% thus, the deficit dropped by 60.2% relative to the same period last year.</w:t>
      </w:r>
    </w:p>
    <w:p w:rsidR="005E1BBA" w:rsidRPr="009911DF" w:rsidRDefault="005E1BBA" w:rsidP="005E1B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9911DF">
        <w:rPr>
          <w:rFonts w:ascii="Arial" w:eastAsia="Times New Roman" w:hAnsi="Arial" w:cs="Arial"/>
          <w:b/>
          <w:bCs/>
          <w:color w:val="222222"/>
          <w:sz w:val="24"/>
          <w:szCs w:val="24"/>
        </w:rPr>
        <w:t>The exceptional increase in revenue collections led to the revenue effort rising from 13.84% last year to 15.49%, a 1.66 percentage point rise, the highest first quarter revenue effort increment ever achieved*.</w:t>
      </w:r>
    </w:p>
    <w:p w:rsidR="005E1BBA" w:rsidRPr="009911DF" w:rsidRDefault="005E1BBA" w:rsidP="005E1B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9911DF">
        <w:rPr>
          <w:rFonts w:ascii="Arial" w:eastAsia="Times New Roman" w:hAnsi="Arial" w:cs="Arial"/>
          <w:b/>
          <w:bCs/>
          <w:color w:val="222222"/>
          <w:sz w:val="24"/>
          <w:szCs w:val="24"/>
        </w:rPr>
        <w:t>The tax effort also rose by 0.93 percentage point to 13.27% due to tax administration improvements. This is also the highest first quarter increment except in 2006 when the VAT reform was passed.</w:t>
      </w:r>
    </w:p>
    <w:p w:rsidR="005E1BBA" w:rsidRPr="009911DF" w:rsidRDefault="005E1BBA" w:rsidP="005E1B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911DF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tbl>
      <w:tblPr>
        <w:tblW w:w="7210" w:type="dxa"/>
        <w:tblInd w:w="9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060"/>
        <w:gridCol w:w="1710"/>
        <w:gridCol w:w="1440"/>
      </w:tblGrid>
      <w:tr w:rsidR="005E1BBA" w:rsidRPr="009911DF" w:rsidTr="005E1BBA">
        <w:trPr>
          <w:trHeight w:val="255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Table 2. TAX EFFORT, January-March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5E1BBA" w:rsidRPr="009911DF" w:rsidTr="005E1BBA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2015</w:t>
            </w:r>
          </w:p>
        </w:tc>
      </w:tr>
      <w:tr w:rsidR="005E1BBA" w:rsidRPr="009911DF" w:rsidTr="005E1BBA">
        <w:trPr>
          <w:trHeight w:val="31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REVENUE EFFORT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13.84%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15.49%</w:t>
            </w:r>
          </w:p>
        </w:tc>
      </w:tr>
      <w:tr w:rsidR="005E1BBA" w:rsidRPr="009911DF" w:rsidTr="005E1BBA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TAX EFFORT</w:t>
            </w:r>
          </w:p>
        </w:tc>
        <w:tc>
          <w:tcPr>
            <w:tcW w:w="171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12.34%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13.27%</w:t>
            </w:r>
          </w:p>
        </w:tc>
      </w:tr>
      <w:tr w:rsidR="005E1BBA" w:rsidRPr="009911DF" w:rsidTr="005E1BBA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 BIR</w:t>
            </w:r>
          </w:p>
        </w:tc>
        <w:tc>
          <w:tcPr>
            <w:tcW w:w="171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9.19%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10.11%</w:t>
            </w:r>
          </w:p>
        </w:tc>
      </w:tr>
      <w:tr w:rsidR="005E1BBA" w:rsidRPr="009911DF" w:rsidTr="005E1BBA">
        <w:trPr>
          <w:trHeight w:val="42"/>
        </w:trPr>
        <w:tc>
          <w:tcPr>
            <w:tcW w:w="4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42" w:lineRule="atLeas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1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42" w:lineRule="atLeas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5E1BBA" w:rsidRPr="009911DF" w:rsidTr="005E1BBA">
        <w:trPr>
          <w:trHeight w:val="315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 BOC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3.00%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3.04%</w:t>
            </w:r>
          </w:p>
        </w:tc>
      </w:tr>
      <w:tr w:rsidR="005E1BBA" w:rsidRPr="009911DF" w:rsidTr="005E1BBA">
        <w:trPr>
          <w:trHeight w:val="31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 OTHERS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0.14%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0.12%</w:t>
            </w:r>
          </w:p>
        </w:tc>
      </w:tr>
      <w:tr w:rsidR="005E1BBA" w:rsidRPr="009911DF" w:rsidTr="005E1BBA">
        <w:trPr>
          <w:trHeight w:val="315"/>
        </w:trPr>
        <w:tc>
          <w:tcPr>
            <w:tcW w:w="4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NON-TAX REVENUE EFFORT</w:t>
            </w:r>
          </w:p>
        </w:tc>
        <w:tc>
          <w:tcPr>
            <w:tcW w:w="171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1.50%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2.23%</w:t>
            </w:r>
          </w:p>
        </w:tc>
      </w:tr>
      <w:tr w:rsidR="005E1BBA" w:rsidRPr="009911DF" w:rsidTr="005E1BBA">
        <w:trPr>
          <w:trHeight w:val="42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</w:tr>
      <w:tr w:rsidR="005E1BBA" w:rsidRPr="009911DF" w:rsidTr="005E1BBA">
        <w:trPr>
          <w:trHeight w:val="37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EXPENDITURE EFFORT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16.76%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16.60%</w:t>
            </w:r>
          </w:p>
        </w:tc>
      </w:tr>
      <w:tr w:rsidR="005E1BBA" w:rsidRPr="009911DF" w:rsidTr="005E1BBA">
        <w:trPr>
          <w:trHeight w:val="330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NG BALANCE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-2.92%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-1.10%</w:t>
            </w:r>
          </w:p>
        </w:tc>
      </w:tr>
      <w:tr w:rsidR="005E1BBA" w:rsidRPr="009911DF" w:rsidTr="005E1BBA">
        <w:trPr>
          <w:trHeight w:val="270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DEBT-GDP RATIO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45.4%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1BBA" w:rsidRPr="009911DF" w:rsidRDefault="005E1BBA" w:rsidP="005E1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9911D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45.2%*</w:t>
            </w:r>
          </w:p>
        </w:tc>
      </w:tr>
    </w:tbl>
    <w:p w:rsidR="005E1BBA" w:rsidRPr="009911DF" w:rsidRDefault="005E1BBA" w:rsidP="005E1B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911DF">
        <w:rPr>
          <w:rFonts w:ascii="Arial" w:eastAsia="Times New Roman" w:hAnsi="Arial" w:cs="Arial"/>
          <w:color w:val="222222"/>
          <w:sz w:val="24"/>
          <w:szCs w:val="24"/>
        </w:rPr>
        <w:t>* April</w:t>
      </w:r>
    </w:p>
    <w:p w:rsidR="005E1BBA" w:rsidRPr="009911DF" w:rsidRDefault="005E1BBA" w:rsidP="005E1B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911DF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5E1BBA" w:rsidRPr="009911DF" w:rsidRDefault="005E1BBA" w:rsidP="005E1B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911DF">
        <w:rPr>
          <w:rFonts w:ascii="Arial" w:eastAsia="Times New Roman" w:hAnsi="Arial" w:cs="Arial"/>
          <w:color w:val="222222"/>
          <w:sz w:val="24"/>
          <w:szCs w:val="24"/>
        </w:rPr>
        <w:t xml:space="preserve">A combination of the lower deficit, stable interest rates and strong peso led to the continuing drop in </w:t>
      </w:r>
      <w:proofErr w:type="gramStart"/>
      <w:r w:rsidRPr="009911DF">
        <w:rPr>
          <w:rFonts w:ascii="Arial" w:eastAsia="Times New Roman" w:hAnsi="Arial" w:cs="Arial"/>
          <w:color w:val="222222"/>
          <w:sz w:val="24"/>
          <w:szCs w:val="24"/>
        </w:rPr>
        <w:t>the  debt</w:t>
      </w:r>
      <w:proofErr w:type="gramEnd"/>
      <w:r w:rsidRPr="009911DF">
        <w:rPr>
          <w:rFonts w:ascii="Arial" w:eastAsia="Times New Roman" w:hAnsi="Arial" w:cs="Arial"/>
          <w:color w:val="222222"/>
          <w:sz w:val="24"/>
          <w:szCs w:val="24"/>
        </w:rPr>
        <w:t>-GDP ratio to 45.2% in April, from the year-end 2014 ratio of 45.4%.</w:t>
      </w:r>
    </w:p>
    <w:p w:rsidR="005E1BBA" w:rsidRPr="009911DF" w:rsidRDefault="005E1BBA" w:rsidP="005E1B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911DF">
        <w:rPr>
          <w:rFonts w:ascii="Arial" w:eastAsia="Times New Roman" w:hAnsi="Arial" w:cs="Arial"/>
          <w:color w:val="222222"/>
          <w:sz w:val="24"/>
          <w:szCs w:val="24"/>
        </w:rPr>
        <w:t>The strong fiscal position shall buttress economic growth in succeeding quarters.</w:t>
      </w:r>
    </w:p>
    <w:p w:rsidR="005E1BBA" w:rsidRPr="009911DF" w:rsidRDefault="005E1BBA" w:rsidP="005E1B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911DF">
        <w:rPr>
          <w:rFonts w:ascii="Arial" w:eastAsia="Times New Roman" w:hAnsi="Arial" w:cs="Arial"/>
          <w:color w:val="222222"/>
          <w:sz w:val="24"/>
          <w:szCs w:val="24"/>
        </w:rPr>
        <w:t>* Quarterly fiscal data started to be compiled in 1989.</w:t>
      </w:r>
    </w:p>
    <w:p w:rsidR="006A20F4" w:rsidRPr="009911DF" w:rsidRDefault="006A20F4">
      <w:pPr>
        <w:rPr>
          <w:rFonts w:ascii="Arial" w:hAnsi="Arial" w:cs="Arial"/>
          <w:sz w:val="24"/>
          <w:szCs w:val="24"/>
        </w:rPr>
      </w:pPr>
    </w:p>
    <w:sectPr w:rsidR="006A20F4" w:rsidRPr="009911DF" w:rsidSect="00C06C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5E1BBA"/>
    <w:rsid w:val="005E1BBA"/>
    <w:rsid w:val="006A20F4"/>
    <w:rsid w:val="009911DF"/>
    <w:rsid w:val="00C06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C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E1BBA"/>
  </w:style>
  <w:style w:type="character" w:customStyle="1" w:styleId="il">
    <w:name w:val="il"/>
    <w:basedOn w:val="DefaultParagraphFont"/>
    <w:rsid w:val="005E1B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7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1889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</dc:creator>
  <cp:keywords/>
  <dc:description/>
  <cp:lastModifiedBy>Ena Escanan</cp:lastModifiedBy>
  <cp:revision>3</cp:revision>
  <dcterms:created xsi:type="dcterms:W3CDTF">2015-07-08T03:10:00Z</dcterms:created>
  <dcterms:modified xsi:type="dcterms:W3CDTF">2015-07-23T04:18:00Z</dcterms:modified>
</cp:coreProperties>
</file>