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Arial" w:eastAsia="Times New Roman" w:hAnsi="Arial" w:cs="Arial"/>
          <w:color w:val="000000"/>
          <w:sz w:val="24"/>
          <w:szCs w:val="24"/>
        </w:rPr>
        <w:t>DOF Economic Bulletin on Exports</w:t>
      </w:r>
    </w:p>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Arial" w:eastAsia="Times New Roman" w:hAnsi="Arial" w:cs="Arial"/>
          <w:color w:val="000000"/>
          <w:sz w:val="24"/>
          <w:szCs w:val="24"/>
        </w:rPr>
        <w:t>13 May 2015</w:t>
      </w:r>
    </w:p>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Symbol" w:eastAsia="Times New Roman" w:hAnsi="Symbol" w:cs="Arial"/>
          <w:color w:val="000000"/>
          <w:sz w:val="24"/>
          <w:szCs w:val="24"/>
        </w:rPr>
        <w:t></w:t>
      </w:r>
      <w:r w:rsidRPr="00CB0159">
        <w:rPr>
          <w:rFonts w:ascii="Times New Roman" w:eastAsia="Times New Roman" w:hAnsi="Times New Roman" w:cs="Times New Roman"/>
          <w:color w:val="000000"/>
          <w:sz w:val="14"/>
          <w:szCs w:val="14"/>
        </w:rPr>
        <w:t>        </w:t>
      </w:r>
      <w:r w:rsidRPr="00CB0159">
        <w:rPr>
          <w:rFonts w:ascii="Times New Roman" w:eastAsia="Times New Roman" w:hAnsi="Times New Roman" w:cs="Times New Roman"/>
          <w:color w:val="000000"/>
          <w:sz w:val="14"/>
        </w:rPr>
        <w:t> </w:t>
      </w:r>
      <w:r w:rsidRPr="00CB0159">
        <w:rPr>
          <w:rFonts w:ascii="Arial" w:eastAsia="Times New Roman" w:hAnsi="Arial" w:cs="Arial"/>
          <w:color w:val="000000"/>
          <w:sz w:val="24"/>
          <w:szCs w:val="24"/>
        </w:rPr>
        <w:t>Total exports in the month of March slowed down to 2.1%, down from the double-digit growth rate in the same period of 2014. This is traced to the reversal in the growth rate of agro-based products and the deceleration in manufactures. The modest growth in March exports, however, is a welcome development in the country's external sector after the negative growth rates in both January and February. For the first quarter of 2015, total exports declined by 0.2%, down from 6.9% recorded in the same quarter of last year.</w:t>
      </w:r>
    </w:p>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Symbol" w:eastAsia="Times New Roman" w:hAnsi="Symbol" w:cs="Arial"/>
          <w:color w:val="000000"/>
          <w:sz w:val="24"/>
          <w:szCs w:val="24"/>
        </w:rPr>
        <w:t></w:t>
      </w:r>
      <w:r w:rsidRPr="00CB0159">
        <w:rPr>
          <w:rFonts w:ascii="Times New Roman" w:eastAsia="Times New Roman" w:hAnsi="Times New Roman" w:cs="Times New Roman"/>
          <w:color w:val="000000"/>
          <w:sz w:val="14"/>
          <w:szCs w:val="14"/>
        </w:rPr>
        <w:t>        </w:t>
      </w:r>
      <w:r w:rsidRPr="00CB0159">
        <w:rPr>
          <w:rFonts w:ascii="Times New Roman" w:eastAsia="Times New Roman" w:hAnsi="Times New Roman" w:cs="Times New Roman"/>
          <w:color w:val="000000"/>
          <w:sz w:val="14"/>
        </w:rPr>
        <w:t> </w:t>
      </w:r>
      <w:r w:rsidRPr="00CB0159">
        <w:rPr>
          <w:rFonts w:ascii="Arial" w:eastAsia="Times New Roman" w:hAnsi="Arial" w:cs="Arial"/>
          <w:color w:val="000000"/>
          <w:sz w:val="24"/>
          <w:szCs w:val="24"/>
        </w:rPr>
        <w:t>Export demand from Asian countries declined from double-digit growth last year. On the other hand, exports to the West caught up. Exports to Japan, the country's largest trading partner, declined by nearly 20% in the first quarter. In contrast, exports to the US, the country's largest trading partner in the West surged up by nearly 20%.</w:t>
      </w:r>
    </w:p>
    <w:p w:rsidR="00CB0159" w:rsidRPr="00CB0159" w:rsidRDefault="00CB0159" w:rsidP="00CB0159">
      <w:pPr>
        <w:spacing w:before="100" w:beforeAutospacing="1" w:after="100" w:afterAutospacing="1" w:line="240" w:lineRule="auto"/>
        <w:rPr>
          <w:rFonts w:ascii="Arial" w:eastAsia="Times New Roman" w:hAnsi="Arial" w:cs="Arial"/>
          <w:color w:val="000000"/>
          <w:sz w:val="24"/>
          <w:szCs w:val="24"/>
        </w:rPr>
      </w:pPr>
      <w:r w:rsidRPr="00CB0159">
        <w:rPr>
          <w:rFonts w:ascii="Arial" w:eastAsia="Times New Roman" w:hAnsi="Arial" w:cs="Arial"/>
          <w:color w:val="000000"/>
          <w:sz w:val="24"/>
          <w:szCs w:val="24"/>
        </w:rPr>
        <w:t>DOF VIEW</w:t>
      </w:r>
    </w:p>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Symbol" w:eastAsia="Times New Roman" w:hAnsi="Symbol" w:cs="Arial"/>
          <w:color w:val="000000"/>
          <w:sz w:val="24"/>
          <w:szCs w:val="24"/>
        </w:rPr>
        <w:t></w:t>
      </w:r>
      <w:r w:rsidRPr="00CB0159">
        <w:rPr>
          <w:rFonts w:ascii="Times New Roman" w:eastAsia="Times New Roman" w:hAnsi="Times New Roman" w:cs="Times New Roman"/>
          <w:color w:val="000000"/>
          <w:sz w:val="14"/>
          <w:szCs w:val="14"/>
        </w:rPr>
        <w:t>        </w:t>
      </w:r>
      <w:r w:rsidRPr="00CB0159">
        <w:rPr>
          <w:rFonts w:ascii="Times New Roman" w:eastAsia="Times New Roman" w:hAnsi="Times New Roman" w:cs="Times New Roman"/>
          <w:color w:val="000000"/>
          <w:sz w:val="14"/>
        </w:rPr>
        <w:t> </w:t>
      </w:r>
      <w:r w:rsidRPr="00CB0159">
        <w:rPr>
          <w:rFonts w:ascii="Arial" w:eastAsia="Times New Roman" w:hAnsi="Arial" w:cs="Arial"/>
          <w:color w:val="000000"/>
          <w:sz w:val="24"/>
          <w:szCs w:val="24"/>
        </w:rPr>
        <w:t>The country should promote more agro-industrial activities. In addition, it should focus on the more value-adding processes, not merely producing raw agricultural materials.</w:t>
      </w:r>
    </w:p>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Symbol" w:eastAsia="Times New Roman" w:hAnsi="Symbol" w:cs="Arial"/>
          <w:color w:val="000000"/>
          <w:sz w:val="24"/>
          <w:szCs w:val="24"/>
        </w:rPr>
        <w:t></w:t>
      </w:r>
      <w:r w:rsidRPr="00CB0159">
        <w:rPr>
          <w:rFonts w:ascii="Times New Roman" w:eastAsia="Times New Roman" w:hAnsi="Times New Roman" w:cs="Times New Roman"/>
          <w:color w:val="000000"/>
          <w:sz w:val="14"/>
          <w:szCs w:val="14"/>
        </w:rPr>
        <w:t>        </w:t>
      </w:r>
      <w:r w:rsidRPr="00CB0159">
        <w:rPr>
          <w:rFonts w:ascii="Times New Roman" w:eastAsia="Times New Roman" w:hAnsi="Times New Roman" w:cs="Times New Roman"/>
          <w:color w:val="000000"/>
          <w:sz w:val="14"/>
        </w:rPr>
        <w:t> </w:t>
      </w:r>
      <w:r w:rsidRPr="00CB0159">
        <w:rPr>
          <w:rFonts w:ascii="Arial" w:eastAsia="Times New Roman" w:hAnsi="Arial" w:cs="Arial"/>
          <w:color w:val="000000"/>
          <w:sz w:val="24"/>
          <w:szCs w:val="24"/>
        </w:rPr>
        <w:t xml:space="preserve">Exporters should take advantage of more </w:t>
      </w:r>
      <w:proofErr w:type="spellStart"/>
      <w:r w:rsidRPr="00CB0159">
        <w:rPr>
          <w:rFonts w:ascii="Arial" w:eastAsia="Times New Roman" w:hAnsi="Arial" w:cs="Arial"/>
          <w:color w:val="000000"/>
          <w:sz w:val="24"/>
          <w:szCs w:val="24"/>
        </w:rPr>
        <w:t>favourable</w:t>
      </w:r>
      <w:proofErr w:type="spellEnd"/>
      <w:r w:rsidRPr="00CB0159">
        <w:rPr>
          <w:rFonts w:ascii="Arial" w:eastAsia="Times New Roman" w:hAnsi="Arial" w:cs="Arial"/>
          <w:color w:val="000000"/>
          <w:sz w:val="24"/>
          <w:szCs w:val="24"/>
        </w:rPr>
        <w:t xml:space="preserve"> investor sentiment in the West. The Purchasing Managers' Index (PMI) in the USA, Germany and the Netherlands are above the neutral score of 50 while those in Asia are below 50. (Note: An index above 50 indicates expanding output; below 50 implies contraction. Note also that, as shown in Table 3, exports increased in countries where PMI is above 50 and declined where PMI is below 50 like in Japan and China.)</w:t>
      </w:r>
    </w:p>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Symbol" w:eastAsia="Times New Roman" w:hAnsi="Symbol" w:cs="Arial"/>
          <w:color w:val="000000"/>
          <w:sz w:val="24"/>
          <w:szCs w:val="24"/>
        </w:rPr>
        <w:t></w:t>
      </w:r>
      <w:r w:rsidRPr="00CB0159">
        <w:rPr>
          <w:rFonts w:ascii="Times New Roman" w:eastAsia="Times New Roman" w:hAnsi="Times New Roman" w:cs="Times New Roman"/>
          <w:color w:val="000000"/>
          <w:sz w:val="14"/>
          <w:szCs w:val="14"/>
        </w:rPr>
        <w:t>        </w:t>
      </w:r>
      <w:r w:rsidRPr="00CB0159">
        <w:rPr>
          <w:rFonts w:ascii="Times New Roman" w:eastAsia="Times New Roman" w:hAnsi="Times New Roman" w:cs="Times New Roman"/>
          <w:color w:val="000000"/>
          <w:sz w:val="14"/>
        </w:rPr>
        <w:t> </w:t>
      </w:r>
      <w:r w:rsidRPr="00CB0159">
        <w:rPr>
          <w:rFonts w:ascii="Arial" w:eastAsia="Times New Roman" w:hAnsi="Arial" w:cs="Arial"/>
          <w:color w:val="000000"/>
          <w:sz w:val="24"/>
          <w:szCs w:val="24"/>
        </w:rPr>
        <w:t>The government should address structural issues like port congestion and the lack of port capacity. As the country's economy expands, as world trade intensifies, and as the AEC becomes more integrated the country should expand the capacity of its infrastructure so as to sustain, support and facilitate the flow of goods in and out of the country.</w:t>
      </w:r>
    </w:p>
    <w:p w:rsidR="00CB0159" w:rsidRPr="00CB0159" w:rsidRDefault="00CB0159" w:rsidP="00CB0159">
      <w:pPr>
        <w:spacing w:before="100" w:beforeAutospacing="1" w:after="100" w:afterAutospacing="1" w:line="240" w:lineRule="auto"/>
        <w:jc w:val="center"/>
        <w:rPr>
          <w:rFonts w:ascii="Arial" w:eastAsia="Times New Roman" w:hAnsi="Arial" w:cs="Arial"/>
          <w:color w:val="000000"/>
          <w:sz w:val="24"/>
          <w:szCs w:val="24"/>
        </w:rPr>
      </w:pPr>
      <w:r w:rsidRPr="00CB0159">
        <w:rPr>
          <w:rFonts w:ascii="Arial" w:eastAsia="Times New Roman" w:hAnsi="Arial" w:cs="Arial"/>
          <w:color w:val="000000"/>
          <w:sz w:val="24"/>
          <w:szCs w:val="24"/>
        </w:rPr>
        <w:t>Table 1: Export Performance by Commodity Group</w:t>
      </w:r>
    </w:p>
    <w:tbl>
      <w:tblPr>
        <w:tblW w:w="5000" w:type="pct"/>
        <w:tblCellMar>
          <w:left w:w="0" w:type="dxa"/>
          <w:right w:w="0" w:type="dxa"/>
        </w:tblCellMar>
        <w:tblLook w:val="04A0"/>
      </w:tblPr>
      <w:tblGrid>
        <w:gridCol w:w="2214"/>
        <w:gridCol w:w="1057"/>
        <w:gridCol w:w="777"/>
        <w:gridCol w:w="264"/>
        <w:gridCol w:w="749"/>
        <w:gridCol w:w="749"/>
        <w:gridCol w:w="264"/>
        <w:gridCol w:w="870"/>
        <w:gridCol w:w="870"/>
        <w:gridCol w:w="264"/>
        <w:gridCol w:w="749"/>
        <w:gridCol w:w="749"/>
      </w:tblGrid>
      <w:tr w:rsidR="00CB0159" w:rsidRPr="00CB0159" w:rsidTr="00CB0159">
        <w:trPr>
          <w:trHeight w:val="240"/>
        </w:trPr>
        <w:tc>
          <w:tcPr>
            <w:tcW w:w="1100" w:type="pct"/>
            <w:tcBorders>
              <w:top w:val="single" w:sz="8" w:space="0" w:color="auto"/>
              <w:left w:val="nil"/>
              <w:bottom w:val="nil"/>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800" w:type="pct"/>
            <w:gridSpan w:val="5"/>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March</w:t>
            </w:r>
          </w:p>
        </w:tc>
        <w:tc>
          <w:tcPr>
            <w:tcW w:w="150" w:type="pct"/>
            <w:tcBorders>
              <w:top w:val="single" w:sz="8" w:space="0" w:color="auto"/>
              <w:left w:val="nil"/>
              <w:bottom w:val="nil"/>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850" w:type="pct"/>
            <w:gridSpan w:val="5"/>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Jan-Mar</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800" w:type="pct"/>
            <w:gridSpan w:val="2"/>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Exports (USD million)</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 </w:t>
            </w:r>
          </w:p>
        </w:tc>
        <w:tc>
          <w:tcPr>
            <w:tcW w:w="750" w:type="pct"/>
            <w:gridSpan w:val="2"/>
            <w:tcBorders>
              <w:top w:val="nil"/>
              <w:left w:val="nil"/>
              <w:bottom w:val="single" w:sz="8" w:space="0" w:color="auto"/>
              <w:right w:val="nil"/>
            </w:tcBorders>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Growth (%)</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900" w:type="pct"/>
            <w:gridSpan w:val="2"/>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Exports</w:t>
            </w:r>
          </w:p>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(USD million)</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 </w:t>
            </w:r>
          </w:p>
        </w:tc>
        <w:tc>
          <w:tcPr>
            <w:tcW w:w="750" w:type="pct"/>
            <w:gridSpan w:val="2"/>
            <w:tcBorders>
              <w:top w:val="single" w:sz="8" w:space="0" w:color="auto"/>
              <w:left w:val="nil"/>
              <w:bottom w:val="single" w:sz="8" w:space="0" w:color="auto"/>
              <w:right w:val="nil"/>
            </w:tcBorders>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Growth (%)</w:t>
            </w:r>
          </w:p>
        </w:tc>
      </w:tr>
      <w:tr w:rsidR="00CB0159" w:rsidRPr="00CB0159" w:rsidTr="00CB0159">
        <w:trPr>
          <w:trHeight w:val="240"/>
        </w:trPr>
        <w:tc>
          <w:tcPr>
            <w:tcW w:w="11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00" w:type="pct"/>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00" w:type="pct"/>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Total Exports</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5,268</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5,377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12.1</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14,277</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14,247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6.9</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(0.2)</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Agro-Based</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464</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371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20.8</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(20.1)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1,157</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1,011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(12.7)</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Forest</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xml:space="preserve">                </w:t>
            </w:r>
            <w:r w:rsidRPr="00CB0159">
              <w:rPr>
                <w:rFonts w:ascii="Arial" w:eastAsia="Times New Roman" w:hAnsi="Arial" w:cs="Arial"/>
                <w:color w:val="000000"/>
                <w:sz w:val="18"/>
                <w:szCs w:val="18"/>
              </w:rPr>
              <w:lastRenderedPageBreak/>
              <w:t>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lastRenderedPageBreak/>
              <w:t xml:space="preserve">          </w:t>
            </w:r>
            <w:r w:rsidRPr="00CB0159">
              <w:rPr>
                <w:rFonts w:ascii="Arial" w:eastAsia="Times New Roman" w:hAnsi="Arial" w:cs="Arial"/>
                <w:color w:val="000000"/>
                <w:sz w:val="18"/>
                <w:szCs w:val="18"/>
              </w:rPr>
              <w:lastRenderedPageBreak/>
              <w:t>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lastRenderedPageBreak/>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26.9</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(4.6</w:t>
            </w:r>
            <w:r w:rsidRPr="00CB0159">
              <w:rPr>
                <w:rFonts w:ascii="Arial" w:eastAsia="Times New Roman" w:hAnsi="Arial" w:cs="Arial"/>
                <w:color w:val="000000"/>
                <w:sz w:val="18"/>
                <w:szCs w:val="18"/>
              </w:rPr>
              <w:lastRenderedPageBreak/>
              <w:t>)</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lastRenderedPageBreak/>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w:t>
            </w:r>
            <w:r w:rsidRPr="00CB0159">
              <w:rPr>
                <w:rFonts w:ascii="Arial" w:eastAsia="Times New Roman" w:hAnsi="Arial" w:cs="Arial"/>
                <w:color w:val="000000"/>
                <w:sz w:val="18"/>
                <w:szCs w:val="18"/>
              </w:rPr>
              <w:lastRenderedPageBreak/>
              <w:t>8</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lastRenderedPageBreak/>
              <w:t>          1</w:t>
            </w:r>
            <w:r w:rsidRPr="00CB0159">
              <w:rPr>
                <w:rFonts w:ascii="Arial" w:eastAsia="Times New Roman" w:hAnsi="Arial" w:cs="Arial"/>
                <w:color w:val="000000"/>
                <w:sz w:val="18"/>
                <w:szCs w:val="18"/>
              </w:rPr>
              <w:lastRenderedPageBreak/>
              <w:t>6</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lastRenderedPageBreak/>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w:t>
            </w:r>
            <w:r w:rsidRPr="00CB0159">
              <w:rPr>
                <w:rFonts w:ascii="Arial" w:eastAsia="Times New Roman" w:hAnsi="Arial" w:cs="Arial"/>
                <w:color w:val="000000"/>
                <w:sz w:val="18"/>
                <w:szCs w:val="18"/>
              </w:rPr>
              <w:lastRenderedPageBreak/>
              <w:t>9</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lastRenderedPageBreak/>
              <w:t>  (11.8</w:t>
            </w:r>
            <w:r w:rsidRPr="00CB0159">
              <w:rPr>
                <w:rFonts w:ascii="Arial" w:eastAsia="Times New Roman" w:hAnsi="Arial" w:cs="Arial"/>
                <w:color w:val="000000"/>
                <w:sz w:val="18"/>
                <w:szCs w:val="18"/>
              </w:rPr>
              <w:lastRenderedPageBreak/>
              <w:t>)</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lastRenderedPageBreak/>
              <w:t>Mineral</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277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335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19.3</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20.8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665</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792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22.1</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19.2</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Petroleum</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(76.5)</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114</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(33.6)</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(63.2)</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Manufactures</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4,416</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4,540</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13.5</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12,045</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12,095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7.9</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0.4</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360"/>
              <w:rPr>
                <w:rFonts w:ascii="Arial" w:eastAsia="Times New Roman" w:hAnsi="Arial" w:cs="Arial"/>
                <w:sz w:val="24"/>
                <w:szCs w:val="24"/>
              </w:rPr>
            </w:pPr>
            <w:r w:rsidRPr="00CB0159">
              <w:rPr>
                <w:rFonts w:ascii="Arial" w:eastAsia="Times New Roman" w:hAnsi="Arial" w:cs="Arial"/>
                <w:color w:val="000000"/>
                <w:sz w:val="18"/>
                <w:szCs w:val="18"/>
              </w:rPr>
              <w:t>Electronics</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2,232</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2,332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13.5</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6,177</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6,342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11.7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7.6</w:t>
            </w:r>
          </w:p>
        </w:tc>
      </w:tr>
      <w:tr w:rsidR="00CB0159" w:rsidRPr="00CB0159" w:rsidTr="00CB0159">
        <w:trPr>
          <w:trHeight w:val="240"/>
        </w:trPr>
        <w:tc>
          <w:tcPr>
            <w:tcW w:w="11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360"/>
              <w:rPr>
                <w:rFonts w:ascii="Arial" w:eastAsia="Times New Roman" w:hAnsi="Arial" w:cs="Arial"/>
                <w:sz w:val="24"/>
                <w:szCs w:val="24"/>
              </w:rPr>
            </w:pPr>
            <w:r w:rsidRPr="00CB0159">
              <w:rPr>
                <w:rFonts w:ascii="Arial" w:eastAsia="Times New Roman" w:hAnsi="Arial" w:cs="Arial"/>
                <w:color w:val="000000"/>
                <w:sz w:val="18"/>
                <w:szCs w:val="18"/>
              </w:rPr>
              <w:t xml:space="preserve">Machinery &amp; Transport </w:t>
            </w:r>
            <w:proofErr w:type="spellStart"/>
            <w:r w:rsidRPr="00CB0159">
              <w:rPr>
                <w:rFonts w:ascii="Arial" w:eastAsia="Times New Roman" w:hAnsi="Arial" w:cs="Arial"/>
                <w:color w:val="000000"/>
                <w:sz w:val="18"/>
                <w:szCs w:val="18"/>
              </w:rPr>
              <w:t>Eqt</w:t>
            </w:r>
            <w:proofErr w:type="spellEnd"/>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405</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558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28.1</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37.7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1,136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1,362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11.6</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19.9</w:t>
            </w:r>
          </w:p>
        </w:tc>
      </w:tr>
      <w:tr w:rsidR="00CB0159" w:rsidRPr="00CB0159" w:rsidTr="00CB0159">
        <w:trPr>
          <w:trHeight w:val="240"/>
        </w:trPr>
        <w:tc>
          <w:tcPr>
            <w:tcW w:w="11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Special Transactions</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87</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109</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(21.4)</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25.9</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277</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291</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3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(17.2)</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4.8</w:t>
            </w:r>
          </w:p>
        </w:tc>
      </w:tr>
      <w:tr w:rsidR="00CB0159" w:rsidRPr="00CB0159" w:rsidTr="00CB0159">
        <w:trPr>
          <w:trHeight w:val="240"/>
        </w:trPr>
        <w:tc>
          <w:tcPr>
            <w:tcW w:w="5000" w:type="pct"/>
            <w:gridSpan w:val="12"/>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Source: NSO</w:t>
            </w:r>
          </w:p>
        </w:tc>
      </w:tr>
    </w:tbl>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Arial" w:eastAsia="Times New Roman" w:hAnsi="Arial" w:cs="Arial"/>
          <w:color w:val="000000"/>
          <w:sz w:val="24"/>
          <w:szCs w:val="24"/>
        </w:rPr>
        <w:t> </w:t>
      </w:r>
    </w:p>
    <w:p w:rsidR="00CB0159" w:rsidRPr="00CB0159" w:rsidRDefault="00CB0159" w:rsidP="00CB0159">
      <w:pPr>
        <w:spacing w:before="100" w:beforeAutospacing="1" w:after="100" w:afterAutospacing="1" w:line="240" w:lineRule="auto"/>
        <w:jc w:val="center"/>
        <w:rPr>
          <w:rFonts w:ascii="Arial" w:eastAsia="Times New Roman" w:hAnsi="Arial" w:cs="Arial"/>
          <w:color w:val="000000"/>
          <w:sz w:val="24"/>
          <w:szCs w:val="24"/>
        </w:rPr>
      </w:pPr>
      <w:r w:rsidRPr="00CB0159">
        <w:rPr>
          <w:rFonts w:ascii="Arial" w:eastAsia="Times New Roman" w:hAnsi="Arial" w:cs="Arial"/>
          <w:color w:val="000000"/>
          <w:sz w:val="24"/>
          <w:szCs w:val="24"/>
        </w:rPr>
        <w:t>Table 2: Export Performance by Country</w:t>
      </w:r>
    </w:p>
    <w:tbl>
      <w:tblPr>
        <w:tblW w:w="5000" w:type="pct"/>
        <w:tblCellMar>
          <w:left w:w="0" w:type="dxa"/>
          <w:right w:w="0" w:type="dxa"/>
        </w:tblCellMar>
        <w:tblLook w:val="04A0"/>
      </w:tblPr>
      <w:tblGrid>
        <w:gridCol w:w="1466"/>
        <w:gridCol w:w="782"/>
        <w:gridCol w:w="782"/>
        <w:gridCol w:w="294"/>
        <w:gridCol w:w="880"/>
        <w:gridCol w:w="977"/>
        <w:gridCol w:w="293"/>
        <w:gridCol w:w="977"/>
        <w:gridCol w:w="1074"/>
        <w:gridCol w:w="293"/>
        <w:gridCol w:w="879"/>
        <w:gridCol w:w="879"/>
      </w:tblGrid>
      <w:tr w:rsidR="00CB0159" w:rsidRPr="00CB0159" w:rsidTr="00CB0159">
        <w:trPr>
          <w:trHeight w:val="240"/>
        </w:trPr>
        <w:tc>
          <w:tcPr>
            <w:tcW w:w="750" w:type="pct"/>
            <w:tcBorders>
              <w:top w:val="single" w:sz="8" w:space="0" w:color="auto"/>
              <w:left w:val="nil"/>
              <w:bottom w:val="nil"/>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900" w:type="pct"/>
            <w:gridSpan w:val="5"/>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March</w:t>
            </w:r>
          </w:p>
        </w:tc>
        <w:tc>
          <w:tcPr>
            <w:tcW w:w="150" w:type="pct"/>
            <w:tcBorders>
              <w:top w:val="single" w:sz="8" w:space="0" w:color="auto"/>
              <w:left w:val="nil"/>
              <w:bottom w:val="nil"/>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2100" w:type="pct"/>
            <w:gridSpan w:val="5"/>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Jan-Mar</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800" w:type="pct"/>
            <w:gridSpan w:val="2"/>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Exports</w:t>
            </w:r>
          </w:p>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(USD million)</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900" w:type="pct"/>
            <w:gridSpan w:val="2"/>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Growth (%)</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050" w:type="pct"/>
            <w:gridSpan w:val="2"/>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Exports</w:t>
            </w:r>
          </w:p>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(USD million)</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900" w:type="pct"/>
            <w:gridSpan w:val="2"/>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center"/>
              <w:rPr>
                <w:rFonts w:ascii="Arial" w:eastAsia="Times New Roman" w:hAnsi="Arial" w:cs="Arial"/>
                <w:sz w:val="24"/>
                <w:szCs w:val="24"/>
              </w:rPr>
            </w:pPr>
            <w:r w:rsidRPr="00CB0159">
              <w:rPr>
                <w:rFonts w:ascii="Arial" w:eastAsia="Times New Roman" w:hAnsi="Arial" w:cs="Arial"/>
                <w:color w:val="000000"/>
                <w:sz w:val="18"/>
                <w:szCs w:val="18"/>
              </w:rPr>
              <w:t>Growth (%)</w:t>
            </w:r>
          </w:p>
        </w:tc>
      </w:tr>
      <w:tr w:rsidR="00CB0159" w:rsidRPr="00CB0159" w:rsidTr="00CB0159">
        <w:trPr>
          <w:trHeight w:val="240"/>
        </w:trPr>
        <w:tc>
          <w:tcPr>
            <w:tcW w:w="7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5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2014</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2015</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Total</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5,268</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5,377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12.1</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14,277</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14,247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(0.2)</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Japan</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1,325</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1,118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53.2</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(15.6)</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3,653</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2,943</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45.6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(19.4)</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USA</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714</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880</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0.5</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1,927</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2,305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(3.1)</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19.6</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China</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557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584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1,672</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1,472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7.5</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(12.0)</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Hong Kong</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413</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511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6.2</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1,068</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1,361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9.7</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27.4</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Singapore</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393</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313</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27.7</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(20.4)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1,090</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885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30.3</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(18.8)</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Germany</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241</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228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58.8</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642</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673</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35.2</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4.9</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Thailand</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207</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179</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34.5</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602</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581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25.6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(3.5)</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Taiwan</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183</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175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20.6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(4.3)</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473</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476</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9.3</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0.6</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South Korea</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262</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192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(19.9)</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(26.6)</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716</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549</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(37.1)</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(23.3)</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Netherlands</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174</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213</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(7.3)</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22.4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463</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471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(7.4)</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Others</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800</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985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1,971</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2,530</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(21.1)</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28.4</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Total</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5,268</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5,377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12.1</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2.1</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14,277</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14,247</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(0.2)</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East Asia</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2,745</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2,586</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15.3</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(5.8)</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7,592</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6,825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14.7</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(10.1)</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ASEAN</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814</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704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15.2</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2,237</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2,124</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11.6</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(5.1)</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USA</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714</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880</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0.5</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23.2</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1,927</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2,305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(3.1)</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19.6</w:t>
            </w:r>
          </w:p>
        </w:tc>
      </w:tr>
      <w:tr w:rsidR="00CB0159" w:rsidRPr="00CB0159" w:rsidTr="00CB0159">
        <w:trPr>
          <w:trHeight w:val="240"/>
        </w:trPr>
        <w:tc>
          <w:tcPr>
            <w:tcW w:w="7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EU</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614</w:t>
            </w:r>
          </w:p>
        </w:tc>
        <w:tc>
          <w:tcPr>
            <w:tcW w:w="4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695</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3.9</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13.3</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1,621</w:t>
            </w:r>
          </w:p>
        </w:tc>
        <w:tc>
          <w:tcPr>
            <w:tcW w:w="50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1,729</w:t>
            </w:r>
          </w:p>
        </w:tc>
        <w:tc>
          <w:tcPr>
            <w:tcW w:w="1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(6.8)</w:t>
            </w:r>
          </w:p>
        </w:tc>
        <w:tc>
          <w:tcPr>
            <w:tcW w:w="450" w:type="pct"/>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6.7</w:t>
            </w:r>
          </w:p>
        </w:tc>
      </w:tr>
      <w:tr w:rsidR="00CB0159" w:rsidRPr="00CB0159" w:rsidTr="00CB0159">
        <w:trPr>
          <w:trHeight w:val="240"/>
        </w:trPr>
        <w:tc>
          <w:tcPr>
            <w:tcW w:w="7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ind w:firstLine="180"/>
              <w:rPr>
                <w:rFonts w:ascii="Arial" w:eastAsia="Times New Roman" w:hAnsi="Arial" w:cs="Arial"/>
                <w:sz w:val="24"/>
                <w:szCs w:val="24"/>
              </w:rPr>
            </w:pPr>
            <w:r w:rsidRPr="00CB0159">
              <w:rPr>
                <w:rFonts w:ascii="Arial" w:eastAsia="Times New Roman" w:hAnsi="Arial" w:cs="Arial"/>
                <w:color w:val="000000"/>
                <w:sz w:val="18"/>
                <w:szCs w:val="18"/>
              </w:rPr>
              <w:t>Others</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382</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512</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22.7</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34.0</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899</w:t>
            </w:r>
          </w:p>
        </w:tc>
        <w:tc>
          <w:tcPr>
            <w:tcW w:w="5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1,264</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(13.3)</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   40.5</w:t>
            </w:r>
          </w:p>
        </w:tc>
      </w:tr>
      <w:tr w:rsidR="00CB0159" w:rsidRPr="00CB0159" w:rsidTr="00CB0159">
        <w:trPr>
          <w:trHeight w:val="240"/>
        </w:trPr>
        <w:tc>
          <w:tcPr>
            <w:tcW w:w="7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Source: NSO</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50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1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450" w:type="pct"/>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r>
    </w:tbl>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Arial" w:eastAsia="Times New Roman" w:hAnsi="Arial" w:cs="Arial"/>
          <w:color w:val="000000"/>
          <w:sz w:val="24"/>
          <w:szCs w:val="24"/>
        </w:rPr>
        <w:t> </w:t>
      </w:r>
    </w:p>
    <w:p w:rsidR="00CB0159" w:rsidRPr="00CB0159" w:rsidRDefault="00CB0159" w:rsidP="00CB0159">
      <w:pPr>
        <w:spacing w:before="100" w:beforeAutospacing="1" w:after="100" w:afterAutospacing="1" w:line="240" w:lineRule="auto"/>
        <w:jc w:val="center"/>
        <w:rPr>
          <w:rFonts w:ascii="Arial" w:eastAsia="Times New Roman" w:hAnsi="Arial" w:cs="Arial"/>
          <w:color w:val="000000"/>
          <w:sz w:val="24"/>
          <w:szCs w:val="24"/>
        </w:rPr>
      </w:pPr>
      <w:r w:rsidRPr="00CB0159">
        <w:rPr>
          <w:rFonts w:ascii="Arial" w:eastAsia="Times New Roman" w:hAnsi="Arial" w:cs="Arial"/>
          <w:color w:val="000000"/>
          <w:sz w:val="24"/>
          <w:szCs w:val="24"/>
        </w:rPr>
        <w:t>Table 3: Purchasing Managers' Index of RP's Major Trading Partners</w:t>
      </w:r>
    </w:p>
    <w:tbl>
      <w:tblPr>
        <w:tblW w:w="4427" w:type="dxa"/>
        <w:jc w:val="center"/>
        <w:tblInd w:w="93" w:type="dxa"/>
        <w:tblCellMar>
          <w:left w:w="0" w:type="dxa"/>
          <w:right w:w="0" w:type="dxa"/>
        </w:tblCellMar>
        <w:tblLook w:val="04A0"/>
      </w:tblPr>
      <w:tblGrid>
        <w:gridCol w:w="1545"/>
        <w:gridCol w:w="808"/>
        <w:gridCol w:w="900"/>
        <w:gridCol w:w="907"/>
        <w:gridCol w:w="267"/>
      </w:tblGrid>
      <w:tr w:rsidR="00CB0159" w:rsidRPr="00CB0159" w:rsidTr="00CB0159">
        <w:trPr>
          <w:trHeight w:val="240"/>
          <w:jc w:val="center"/>
        </w:trPr>
        <w:tc>
          <w:tcPr>
            <w:tcW w:w="1545"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808"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Feb-15</w:t>
            </w:r>
          </w:p>
        </w:tc>
        <w:tc>
          <w:tcPr>
            <w:tcW w:w="90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Mar-15</w:t>
            </w:r>
          </w:p>
        </w:tc>
        <w:tc>
          <w:tcPr>
            <w:tcW w:w="90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Apr-15</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Japan</w:t>
            </w:r>
          </w:p>
        </w:tc>
        <w:tc>
          <w:tcPr>
            <w:tcW w:w="808"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51.6</w:t>
            </w:r>
          </w:p>
        </w:tc>
        <w:tc>
          <w:tcPr>
            <w:tcW w:w="900"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50.3</w:t>
            </w:r>
          </w:p>
        </w:tc>
        <w:tc>
          <w:tcPr>
            <w:tcW w:w="907"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49.9</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USA</w:t>
            </w:r>
          </w:p>
        </w:tc>
        <w:tc>
          <w:tcPr>
            <w:tcW w:w="808"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55.1</w:t>
            </w:r>
          </w:p>
        </w:tc>
        <w:tc>
          <w:tcPr>
            <w:tcW w:w="900"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55.7</w:t>
            </w:r>
          </w:p>
        </w:tc>
        <w:tc>
          <w:tcPr>
            <w:tcW w:w="907"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54.1</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lastRenderedPageBreak/>
              <w:t>China</w:t>
            </w:r>
          </w:p>
        </w:tc>
        <w:tc>
          <w:tcPr>
            <w:tcW w:w="808"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50.7</w:t>
            </w:r>
          </w:p>
        </w:tc>
        <w:tc>
          <w:tcPr>
            <w:tcW w:w="900"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49.6</w:t>
            </w:r>
          </w:p>
        </w:tc>
        <w:tc>
          <w:tcPr>
            <w:tcW w:w="907"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48.9</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Hong Kong</w:t>
            </w:r>
          </w:p>
        </w:tc>
        <w:tc>
          <w:tcPr>
            <w:tcW w:w="808"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50.7</w:t>
            </w:r>
          </w:p>
        </w:tc>
        <w:tc>
          <w:tcPr>
            <w:tcW w:w="900"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49.6</w:t>
            </w:r>
          </w:p>
        </w:tc>
        <w:tc>
          <w:tcPr>
            <w:tcW w:w="907"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48.6</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Germany</w:t>
            </w:r>
          </w:p>
        </w:tc>
        <w:tc>
          <w:tcPr>
            <w:tcW w:w="808"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51.1</w:t>
            </w:r>
          </w:p>
        </w:tc>
        <w:tc>
          <w:tcPr>
            <w:tcW w:w="900"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52.8</w:t>
            </w:r>
          </w:p>
        </w:tc>
        <w:tc>
          <w:tcPr>
            <w:tcW w:w="907" w:type="dxa"/>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52.1</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Taiwan</w:t>
            </w:r>
          </w:p>
        </w:tc>
        <w:tc>
          <w:tcPr>
            <w:tcW w:w="808"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52.1</w:t>
            </w:r>
          </w:p>
        </w:tc>
        <w:tc>
          <w:tcPr>
            <w:tcW w:w="900"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51.0</w:t>
            </w:r>
          </w:p>
        </w:tc>
        <w:tc>
          <w:tcPr>
            <w:tcW w:w="907"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49.2</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South Korea</w:t>
            </w:r>
          </w:p>
        </w:tc>
        <w:tc>
          <w:tcPr>
            <w:tcW w:w="808"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49.2</w:t>
            </w:r>
          </w:p>
        </w:tc>
        <w:tc>
          <w:tcPr>
            <w:tcW w:w="900"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49.2</w:t>
            </w:r>
          </w:p>
        </w:tc>
        <w:tc>
          <w:tcPr>
            <w:tcW w:w="907" w:type="dxa"/>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48.8</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1545" w:type="dxa"/>
            <w:tcBorders>
              <w:top w:val="nil"/>
              <w:left w:val="nil"/>
              <w:bottom w:val="single" w:sz="8" w:space="0" w:color="auto"/>
              <w:right w:val="nil"/>
            </w:tcBorders>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Netherlands</w:t>
            </w:r>
          </w:p>
        </w:tc>
        <w:tc>
          <w:tcPr>
            <w:tcW w:w="808" w:type="dxa"/>
            <w:tcBorders>
              <w:top w:val="nil"/>
              <w:left w:val="nil"/>
              <w:bottom w:val="single" w:sz="8" w:space="0" w:color="auto"/>
              <w:right w:val="nil"/>
            </w:tcBorders>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c>
          <w:tcPr>
            <w:tcW w:w="900" w:type="dxa"/>
            <w:tcBorders>
              <w:top w:val="nil"/>
              <w:left w:val="nil"/>
              <w:bottom w:val="single" w:sz="8" w:space="0" w:color="auto"/>
              <w:right w:val="nil"/>
            </w:tcBorders>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52.5</w:t>
            </w:r>
          </w:p>
        </w:tc>
        <w:tc>
          <w:tcPr>
            <w:tcW w:w="907" w:type="dxa"/>
            <w:tcBorders>
              <w:top w:val="nil"/>
              <w:left w:val="nil"/>
              <w:bottom w:val="single" w:sz="8" w:space="0" w:color="auto"/>
              <w:right w:val="nil"/>
            </w:tcBorders>
            <w:shd w:val="clear" w:color="auto" w:fill="FABF8F"/>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jc w:val="right"/>
              <w:rPr>
                <w:rFonts w:ascii="Arial" w:eastAsia="Times New Roman" w:hAnsi="Arial" w:cs="Arial"/>
                <w:sz w:val="24"/>
                <w:szCs w:val="24"/>
              </w:rPr>
            </w:pPr>
            <w:r w:rsidRPr="00CB0159">
              <w:rPr>
                <w:rFonts w:ascii="Arial" w:eastAsia="Times New Roman" w:hAnsi="Arial" w:cs="Arial"/>
                <w:color w:val="000000"/>
                <w:sz w:val="18"/>
                <w:szCs w:val="18"/>
              </w:rPr>
              <w:t>54.0</w:t>
            </w:r>
          </w:p>
        </w:tc>
        <w:tc>
          <w:tcPr>
            <w:tcW w:w="270" w:type="dxa"/>
            <w:tcBorders>
              <w:top w:val="nil"/>
              <w:left w:val="nil"/>
              <w:bottom w:val="nil"/>
              <w:right w:val="nil"/>
            </w:tcBorders>
            <w:vAlign w:val="center"/>
            <w:hideMark/>
          </w:tcPr>
          <w:p w:rsidR="00CB0159" w:rsidRPr="00CB0159" w:rsidRDefault="00CB0159" w:rsidP="00CB0159">
            <w:pPr>
              <w:spacing w:before="100" w:beforeAutospacing="1" w:after="100" w:afterAutospacing="1" w:line="240" w:lineRule="auto"/>
              <w:rPr>
                <w:rFonts w:ascii="Arial" w:eastAsia="Times New Roman" w:hAnsi="Arial" w:cs="Arial"/>
                <w:sz w:val="24"/>
                <w:szCs w:val="24"/>
              </w:rPr>
            </w:pPr>
            <w:r w:rsidRPr="00CB0159">
              <w:rPr>
                <w:rFonts w:ascii="Arial" w:eastAsia="Times New Roman" w:hAnsi="Arial" w:cs="Arial"/>
                <w:sz w:val="24"/>
                <w:szCs w:val="24"/>
              </w:rPr>
              <w:t> </w:t>
            </w:r>
          </w:p>
        </w:tc>
      </w:tr>
      <w:tr w:rsidR="00CB0159" w:rsidRPr="00CB0159" w:rsidTr="00CB0159">
        <w:trPr>
          <w:trHeight w:val="240"/>
          <w:jc w:val="center"/>
        </w:trPr>
        <w:tc>
          <w:tcPr>
            <w:tcW w:w="4160" w:type="dxa"/>
            <w:gridSpan w:val="4"/>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xml:space="preserve">Sources: HSBC, </w:t>
            </w:r>
            <w:proofErr w:type="spellStart"/>
            <w:r w:rsidRPr="00CB0159">
              <w:rPr>
                <w:rFonts w:ascii="Arial" w:eastAsia="Times New Roman" w:hAnsi="Arial" w:cs="Arial"/>
                <w:color w:val="000000"/>
                <w:sz w:val="18"/>
                <w:szCs w:val="18"/>
              </w:rPr>
              <w:t>Markit</w:t>
            </w:r>
            <w:proofErr w:type="spellEnd"/>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rsidR="00CB0159" w:rsidRPr="00CB0159" w:rsidRDefault="00CB0159" w:rsidP="00CB0159">
            <w:pPr>
              <w:spacing w:before="100" w:beforeAutospacing="1" w:after="0" w:line="240" w:lineRule="auto"/>
              <w:rPr>
                <w:rFonts w:ascii="Arial" w:eastAsia="Times New Roman" w:hAnsi="Arial" w:cs="Arial"/>
                <w:sz w:val="24"/>
                <w:szCs w:val="24"/>
              </w:rPr>
            </w:pPr>
            <w:r w:rsidRPr="00CB0159">
              <w:rPr>
                <w:rFonts w:ascii="Arial" w:eastAsia="Times New Roman" w:hAnsi="Arial" w:cs="Arial"/>
                <w:color w:val="000000"/>
                <w:sz w:val="18"/>
                <w:szCs w:val="18"/>
              </w:rPr>
              <w:t> </w:t>
            </w:r>
          </w:p>
        </w:tc>
      </w:tr>
    </w:tbl>
    <w:p w:rsidR="00CB0159" w:rsidRPr="00CB0159" w:rsidRDefault="00CB0159" w:rsidP="00CB0159">
      <w:pPr>
        <w:spacing w:before="100" w:beforeAutospacing="1" w:after="100" w:afterAutospacing="1" w:line="240" w:lineRule="auto"/>
        <w:jc w:val="both"/>
        <w:rPr>
          <w:rFonts w:ascii="Arial" w:eastAsia="Times New Roman" w:hAnsi="Arial" w:cs="Arial"/>
          <w:color w:val="000000"/>
          <w:sz w:val="24"/>
          <w:szCs w:val="24"/>
        </w:rPr>
      </w:pPr>
      <w:r w:rsidRPr="00CB0159">
        <w:rPr>
          <w:rFonts w:ascii="Arial" w:eastAsia="Times New Roman" w:hAnsi="Arial" w:cs="Arial"/>
          <w:color w:val="000000"/>
          <w:sz w:val="24"/>
          <w:szCs w:val="24"/>
        </w:rPr>
        <w:t> </w:t>
      </w:r>
    </w:p>
    <w:p w:rsidR="00CB0159" w:rsidRPr="00CB0159" w:rsidRDefault="00CB0159" w:rsidP="00CB0159">
      <w:pPr>
        <w:spacing w:after="0" w:line="240" w:lineRule="auto"/>
        <w:rPr>
          <w:rFonts w:ascii="Arial" w:eastAsia="Times New Roman" w:hAnsi="Arial" w:cs="Arial"/>
          <w:color w:val="000000"/>
          <w:sz w:val="24"/>
          <w:szCs w:val="24"/>
        </w:rPr>
      </w:pPr>
    </w:p>
    <w:p w:rsidR="001B0981" w:rsidRDefault="001B0981"/>
    <w:sectPr w:rsidR="001B0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CB0159"/>
    <w:rsid w:val="001B0981"/>
    <w:rsid w:val="00CB0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0159"/>
  </w:style>
</w:styles>
</file>

<file path=word/webSettings.xml><?xml version="1.0" encoding="utf-8"?>
<w:webSettings xmlns:r="http://schemas.openxmlformats.org/officeDocument/2006/relationships" xmlns:w="http://schemas.openxmlformats.org/wordprocessingml/2006/main">
  <w:divs>
    <w:div w:id="76484001">
      <w:bodyDiv w:val="1"/>
      <w:marLeft w:val="0"/>
      <w:marRight w:val="0"/>
      <w:marTop w:val="0"/>
      <w:marBottom w:val="0"/>
      <w:divBdr>
        <w:top w:val="none" w:sz="0" w:space="0" w:color="auto"/>
        <w:left w:val="none" w:sz="0" w:space="0" w:color="auto"/>
        <w:bottom w:val="none" w:sz="0" w:space="0" w:color="auto"/>
        <w:right w:val="none" w:sz="0" w:space="0" w:color="auto"/>
      </w:divBdr>
      <w:divsChild>
        <w:div w:id="1531455517">
          <w:marLeft w:val="0"/>
          <w:marRight w:val="0"/>
          <w:marTop w:val="0"/>
          <w:marBottom w:val="0"/>
          <w:divBdr>
            <w:top w:val="none" w:sz="0" w:space="0" w:color="auto"/>
            <w:left w:val="none" w:sz="0" w:space="0" w:color="auto"/>
            <w:bottom w:val="none" w:sz="0" w:space="0" w:color="auto"/>
            <w:right w:val="none" w:sz="0" w:space="0" w:color="auto"/>
          </w:divBdr>
          <w:divsChild>
            <w:div w:id="91753442">
              <w:marLeft w:val="0"/>
              <w:marRight w:val="0"/>
              <w:marTop w:val="0"/>
              <w:marBottom w:val="0"/>
              <w:divBdr>
                <w:top w:val="none" w:sz="0" w:space="0" w:color="auto"/>
                <w:left w:val="none" w:sz="0" w:space="0" w:color="auto"/>
                <w:bottom w:val="none" w:sz="0" w:space="0" w:color="auto"/>
                <w:right w:val="none" w:sz="0" w:space="0" w:color="auto"/>
              </w:divBdr>
              <w:divsChild>
                <w:div w:id="1723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Company>Hewlett-Packard Company</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2015-07-08T03:08:00Z</dcterms:created>
  <dcterms:modified xsi:type="dcterms:W3CDTF">2015-07-08T03:08:00Z</dcterms:modified>
</cp:coreProperties>
</file>