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64" w:rsidRPr="00D97E64" w:rsidRDefault="00D97E64" w:rsidP="00D9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b/>
          <w:bCs/>
          <w:color w:val="222222"/>
          <w:sz w:val="24"/>
          <w:szCs w:val="24"/>
        </w:rPr>
        <w:t>DOF Economic Bulletin on Imports</w:t>
      </w:r>
    </w:p>
    <w:p w:rsidR="00D97E64" w:rsidRPr="00D97E64" w:rsidRDefault="00D97E64" w:rsidP="00D9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color w:val="222222"/>
          <w:sz w:val="24"/>
          <w:szCs w:val="24"/>
        </w:rPr>
        <w:t>26 June 2015</w:t>
      </w:r>
    </w:p>
    <w:p w:rsidR="00D97E64" w:rsidRPr="00D97E64" w:rsidRDefault="00D97E64" w:rsidP="00D97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D97E6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97E6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97E64">
        <w:rPr>
          <w:rFonts w:ascii="Arial" w:eastAsia="Times New Roman" w:hAnsi="Arial" w:cs="Arial"/>
          <w:color w:val="222222"/>
          <w:sz w:val="24"/>
          <w:szCs w:val="24"/>
        </w:rPr>
        <w:t>For the month of April, total imports dropped by 12.8%, largely on the back of much lower international oil prices. Average Dubai crude oil prices for the first four months of the year fell by 44.3%. In the same period, import value of fossil fuels dropped by 43.5% but import volume rose 7.8%.</w:t>
      </w:r>
    </w:p>
    <w:p w:rsidR="00D97E64" w:rsidRPr="00D97E64" w:rsidRDefault="00D97E64" w:rsidP="00D97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D97E6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97E6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97E64">
        <w:rPr>
          <w:rFonts w:ascii="Arial" w:eastAsia="Times New Roman" w:hAnsi="Arial" w:cs="Arial"/>
          <w:color w:val="222222"/>
          <w:sz w:val="24"/>
          <w:szCs w:val="24"/>
        </w:rPr>
        <w:t>Year-to-date total imports declined by 6.2%. Excluding fuels, however, show that imports actually rose by 4.6%, albeit a deceleration from last year's 11.5% growth.</w:t>
      </w:r>
    </w:p>
    <w:p w:rsidR="00D97E64" w:rsidRPr="00D97E64" w:rsidRDefault="00D97E64" w:rsidP="00D97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b/>
          <w:bCs/>
          <w:color w:val="222222"/>
          <w:sz w:val="24"/>
          <w:szCs w:val="24"/>
        </w:rPr>
        <w:t>Table 1: Imports by Major Commodity Type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7"/>
        <w:gridCol w:w="795"/>
        <w:gridCol w:w="795"/>
        <w:gridCol w:w="264"/>
        <w:gridCol w:w="794"/>
        <w:gridCol w:w="794"/>
        <w:gridCol w:w="264"/>
        <w:gridCol w:w="794"/>
        <w:gridCol w:w="794"/>
        <w:gridCol w:w="264"/>
        <w:gridCol w:w="794"/>
        <w:gridCol w:w="794"/>
      </w:tblGrid>
      <w:tr w:rsidR="00D97E64" w:rsidRPr="00D97E64" w:rsidTr="00D97E6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(USD Billion)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Rate (%)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Jan-April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Jan-Apr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Commodity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Goods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1.19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1.35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5.13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5.69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(18.9)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13.0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(3.9)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10.9</w:t>
            </w:r>
          </w:p>
        </w:tc>
      </w:tr>
      <w:tr w:rsidR="00D97E64" w:rsidRPr="00D97E64" w:rsidTr="00D97E64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 Materials &amp; Intermediate Goods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2.08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1.81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8.82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8.69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19.2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(12.8)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22.8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(1.4)</w:t>
            </w:r>
          </w:p>
        </w:tc>
      </w:tr>
      <w:tr w:rsidR="00D97E64" w:rsidRPr="00D97E64" w:rsidTr="00D97E64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Fuels, Lubricant &amp; Related Materials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1.43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4.84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2.74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11.7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(53.9)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8.6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(43.5)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Consumer Goods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0.82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2.78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3.12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2.1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30.3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14.0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12.0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Transactions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0.04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0.14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(17.9)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21.7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(17.4)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1.3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Imports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5.37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4.68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21.71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20.38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4.1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(12.8)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10.8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(6.2)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Imports ex Fuels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3.93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4.02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16.87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17.64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1.6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2.2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11.5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4.6</w:t>
            </w:r>
          </w:p>
        </w:tc>
      </w:tr>
      <w:tr w:rsidR="00D97E64" w:rsidRPr="00D97E64" w:rsidTr="00D97E6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Basic Data: NSO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7E64" w:rsidRPr="00D97E64" w:rsidRDefault="00D97E64" w:rsidP="00D9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97E64" w:rsidRPr="00D97E64" w:rsidRDefault="00D97E64" w:rsidP="00D97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Table 2: Dubai Crude Oil Price, VOPI and </w:t>
      </w:r>
      <w:proofErr w:type="spellStart"/>
      <w:r w:rsidRPr="00D97E64">
        <w:rPr>
          <w:rFonts w:ascii="Arial" w:eastAsia="Times New Roman" w:hAnsi="Arial" w:cs="Arial"/>
          <w:b/>
          <w:bCs/>
          <w:color w:val="222222"/>
          <w:sz w:val="24"/>
          <w:szCs w:val="24"/>
        </w:rPr>
        <w:t>Sectoral</w:t>
      </w:r>
      <w:proofErr w:type="spellEnd"/>
      <w:r w:rsidRPr="00D97E6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PMI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847"/>
        <w:gridCol w:w="847"/>
        <w:gridCol w:w="863"/>
        <w:gridCol w:w="802"/>
        <w:gridCol w:w="802"/>
        <w:gridCol w:w="847"/>
        <w:gridCol w:w="847"/>
        <w:gridCol w:w="802"/>
        <w:gridCol w:w="847"/>
        <w:gridCol w:w="788"/>
      </w:tblGrid>
      <w:tr w:rsidR="00D97E64" w:rsidRPr="00D97E64" w:rsidTr="00D97E64">
        <w:trPr>
          <w:trHeight w:val="255"/>
        </w:trPr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Jan-14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Feb-14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Mar-14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Apr-14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May-14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Jan-15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Feb-15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Mar-15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Apr-15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May-15</w:t>
            </w:r>
          </w:p>
        </w:tc>
      </w:tr>
      <w:tr w:rsidR="00D97E64" w:rsidRPr="00D97E64" w:rsidTr="00D97E64">
        <w:trPr>
          <w:trHeight w:val="510"/>
        </w:trPr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Dubai crude oil    ($/bbl)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104.01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104.94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104.15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104.73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105.60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45.98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55.83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54.91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58.80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 63.69</w:t>
            </w:r>
          </w:p>
        </w:tc>
      </w:tr>
      <w:tr w:rsidR="00D97E64" w:rsidRPr="00D97E64" w:rsidTr="00D97E64">
        <w:trPr>
          <w:trHeight w:val="255"/>
        </w:trPr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VOPI (MISSI)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104.30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107.10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104.20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114.20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124.20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110.80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108.10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121.00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 115.80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D97E64" w:rsidRPr="00D97E64" w:rsidTr="00D97E64">
        <w:trPr>
          <w:trHeight w:val="510"/>
        </w:trPr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VOPI Growth, y-o-y (%)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    4.40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    5.93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        - 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10.77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12.70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    6.23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    0.93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 16.12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      1.40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D97E64" w:rsidRPr="00D97E64" w:rsidTr="00D97E64">
        <w:trPr>
          <w:trHeight w:val="255"/>
        </w:trPr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PMI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D97E64" w:rsidRPr="00D97E64" w:rsidTr="00D97E64">
        <w:trPr>
          <w:trHeight w:val="270"/>
        </w:trPr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MFG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54.99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55.41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55.66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53.68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58.34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55.59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53.69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54.93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52.16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 53.82</w:t>
            </w:r>
          </w:p>
        </w:tc>
      </w:tr>
      <w:tr w:rsidR="00D97E64" w:rsidRPr="00D97E64" w:rsidTr="00D97E64">
        <w:trPr>
          <w:trHeight w:val="525"/>
        </w:trPr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Retail &amp; Wholesale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55.21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51.62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57.80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54.29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57.44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49.92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52.76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60.47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53.70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 52.15</w:t>
            </w:r>
          </w:p>
        </w:tc>
      </w:tr>
      <w:tr w:rsidR="00D97E64" w:rsidRPr="00D97E64" w:rsidTr="00D97E64">
        <w:trPr>
          <w:trHeight w:val="270"/>
        </w:trPr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Services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59.98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61.12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66.07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59.51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66.19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57.24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62.27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59.89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  59.94</w:t>
            </w:r>
          </w:p>
        </w:tc>
        <w:tc>
          <w:tcPr>
            <w:tcW w:w="4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Estrangelo Edessa" w:eastAsia="Times New Roman" w:hAnsi="Estrangelo Edessa" w:cs="Estrangelo Edessa"/>
                <w:color w:val="222222"/>
                <w:sz w:val="20"/>
                <w:szCs w:val="20"/>
              </w:rPr>
              <w:t>   59.71</w:t>
            </w:r>
          </w:p>
        </w:tc>
      </w:tr>
      <w:tr w:rsidR="00D97E64" w:rsidRPr="00D97E64" w:rsidTr="00D97E64">
        <w:trPr>
          <w:trHeight w:val="255"/>
        </w:trPr>
        <w:tc>
          <w:tcPr>
            <w:tcW w:w="41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Sources of Basic Data: NSO; PISM; World Bank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64" w:rsidRPr="00D97E64" w:rsidRDefault="00D97E64" w:rsidP="00D9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7E6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</w:tbl>
    <w:p w:rsidR="00D97E64" w:rsidRPr="00D97E64" w:rsidRDefault="00D97E64" w:rsidP="00D9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97E64" w:rsidRPr="00D97E64" w:rsidRDefault="00D97E64" w:rsidP="00D9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Arial" w:eastAsia="Times New Roman" w:hAnsi="Arial" w:cs="Arial"/>
          <w:color w:val="222222"/>
          <w:sz w:val="24"/>
          <w:szCs w:val="24"/>
        </w:rPr>
        <w:t>DOF View</w:t>
      </w:r>
    </w:p>
    <w:p w:rsidR="00D97E64" w:rsidRPr="00D97E64" w:rsidRDefault="00D97E64" w:rsidP="00D97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D97E6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97E6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97E64">
        <w:rPr>
          <w:rFonts w:ascii="Arial" w:eastAsia="Times New Roman" w:hAnsi="Arial" w:cs="Arial"/>
          <w:color w:val="222222"/>
          <w:sz w:val="24"/>
          <w:szCs w:val="24"/>
        </w:rPr>
        <w:t>Reports on the apparent decline in imports suggest "some slowing in domestic demand." A closer examination at the data, that is, by excluding fuels, point to an increase in imports.  </w:t>
      </w:r>
    </w:p>
    <w:p w:rsidR="00D97E64" w:rsidRPr="00D97E64" w:rsidRDefault="00D97E64" w:rsidP="00D97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D97E6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97E6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97E64">
        <w:rPr>
          <w:rFonts w:ascii="Arial" w:eastAsia="Times New Roman" w:hAnsi="Arial" w:cs="Arial"/>
          <w:color w:val="222222"/>
          <w:sz w:val="24"/>
          <w:szCs w:val="24"/>
        </w:rPr>
        <w:t>Monthly Integrated Survey of Selected Industries (MISSI) actually show that the manufacturing sector has expanded in the first four months as shown by positive growth rates in the VOPI.</w:t>
      </w:r>
    </w:p>
    <w:p w:rsidR="00D97E64" w:rsidRPr="00D97E64" w:rsidRDefault="00D97E64" w:rsidP="00D97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E64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D97E6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97E6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97E64">
        <w:rPr>
          <w:rFonts w:ascii="Arial" w:eastAsia="Times New Roman" w:hAnsi="Arial" w:cs="Arial"/>
          <w:color w:val="222222"/>
          <w:sz w:val="24"/>
          <w:szCs w:val="24"/>
        </w:rPr>
        <w:t>Also, the Purchasing Managers' Index  (PMI) show that economic activity is expanding in manufacturing, trade and services. PMI for the three sectors have been above 50 in the past four months. </w:t>
      </w:r>
    </w:p>
    <w:p w:rsidR="00AE1621" w:rsidRDefault="00AE1621"/>
    <w:sectPr w:rsidR="00AE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D97E64"/>
    <w:rsid w:val="00AE1621"/>
    <w:rsid w:val="00D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E64"/>
  </w:style>
  <w:style w:type="character" w:customStyle="1" w:styleId="il">
    <w:name w:val="il"/>
    <w:basedOn w:val="DefaultParagraphFont"/>
    <w:rsid w:val="00D97E64"/>
  </w:style>
  <w:style w:type="paragraph" w:styleId="NormalWeb">
    <w:name w:val="Normal (Web)"/>
    <w:basedOn w:val="Normal"/>
    <w:uiPriority w:val="99"/>
    <w:semiHidden/>
    <w:unhideWhenUsed/>
    <w:rsid w:val="00D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2</cp:revision>
  <dcterms:created xsi:type="dcterms:W3CDTF">2015-07-08T03:20:00Z</dcterms:created>
  <dcterms:modified xsi:type="dcterms:W3CDTF">2015-07-08T03:21:00Z</dcterms:modified>
</cp:coreProperties>
</file>