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66" w:rsidRPr="00E77466" w:rsidRDefault="00E77466" w:rsidP="00E77466">
      <w:pPr>
        <w:shd w:val="clear" w:color="auto" w:fill="FFFFFF"/>
        <w:spacing w:after="0" w:line="240" w:lineRule="auto"/>
        <w:jc w:val="both"/>
        <w:rPr>
          <w:rFonts w:ascii="Arial" w:eastAsia="Times New Roman" w:hAnsi="Arial" w:cs="Arial"/>
          <w:color w:val="222222"/>
          <w:sz w:val="24"/>
          <w:szCs w:val="24"/>
        </w:rPr>
      </w:pPr>
      <w:r w:rsidRPr="00E77466">
        <w:rPr>
          <w:rFonts w:ascii="Tahoma" w:eastAsia="Times New Roman" w:hAnsi="Tahoma" w:cs="Tahoma"/>
          <w:b/>
          <w:bCs/>
          <w:color w:val="222222"/>
          <w:sz w:val="20"/>
          <w:szCs w:val="20"/>
        </w:rPr>
        <w:t>DOF</w:t>
      </w:r>
      <w:r w:rsidRPr="00E77466">
        <w:rPr>
          <w:rFonts w:ascii="Tahoma" w:eastAsia="Times New Roman" w:hAnsi="Tahoma" w:cs="Tahoma"/>
          <w:b/>
          <w:bCs/>
          <w:color w:val="222222"/>
          <w:sz w:val="20"/>
        </w:rPr>
        <w:t> Economic Bulletin </w:t>
      </w:r>
      <w:r w:rsidRPr="00E77466">
        <w:rPr>
          <w:rFonts w:ascii="Tahoma" w:eastAsia="Times New Roman" w:hAnsi="Tahoma" w:cs="Tahoma"/>
          <w:b/>
          <w:bCs/>
          <w:color w:val="222222"/>
          <w:sz w:val="20"/>
          <w:szCs w:val="20"/>
        </w:rPr>
        <w:t>on Real Estate, Property Sector and Asset Price</w:t>
      </w:r>
    </w:p>
    <w:p w:rsidR="00E77466" w:rsidRPr="00E77466" w:rsidRDefault="00E77466" w:rsidP="00E77466">
      <w:pPr>
        <w:shd w:val="clear" w:color="auto" w:fill="FFFFFF"/>
        <w:spacing w:after="0" w:line="240" w:lineRule="auto"/>
        <w:jc w:val="both"/>
        <w:rPr>
          <w:rFonts w:ascii="Arial" w:eastAsia="Times New Roman" w:hAnsi="Arial" w:cs="Arial"/>
          <w:color w:val="222222"/>
          <w:sz w:val="24"/>
          <w:szCs w:val="24"/>
        </w:rPr>
      </w:pPr>
      <w:r w:rsidRPr="00E77466">
        <w:rPr>
          <w:rFonts w:ascii="Tahoma" w:eastAsia="Times New Roman" w:hAnsi="Tahoma" w:cs="Tahoma"/>
          <w:color w:val="222222"/>
          <w:sz w:val="20"/>
          <w:szCs w:val="20"/>
        </w:rPr>
        <w:t>19 June 2015</w:t>
      </w:r>
    </w:p>
    <w:p w:rsidR="00E77466" w:rsidRPr="00E77466" w:rsidRDefault="00E77466" w:rsidP="00E77466">
      <w:pPr>
        <w:shd w:val="clear" w:color="auto" w:fill="FFFFFF"/>
        <w:spacing w:after="0" w:line="240" w:lineRule="auto"/>
        <w:jc w:val="both"/>
        <w:rPr>
          <w:rFonts w:ascii="Arial" w:eastAsia="Times New Roman" w:hAnsi="Arial" w:cs="Arial"/>
          <w:color w:val="222222"/>
          <w:sz w:val="24"/>
          <w:szCs w:val="24"/>
        </w:rPr>
      </w:pPr>
      <w:r w:rsidRPr="00E77466">
        <w:rPr>
          <w:rFonts w:ascii="Tahoma" w:eastAsia="Times New Roman" w:hAnsi="Tahoma" w:cs="Tahoma"/>
          <w:b/>
          <w:bCs/>
          <w:color w:val="222222"/>
          <w:sz w:val="20"/>
          <w:szCs w:val="20"/>
        </w:rPr>
        <w:t>Table 1: Property Prices, Rental, Banking Exposure to Real Estate Sector</w:t>
      </w:r>
    </w:p>
    <w:tbl>
      <w:tblPr>
        <w:tblW w:w="0" w:type="auto"/>
        <w:tblInd w:w="93" w:type="dxa"/>
        <w:shd w:val="clear" w:color="auto" w:fill="FFFFFF"/>
        <w:tblCellMar>
          <w:left w:w="0" w:type="dxa"/>
          <w:right w:w="0" w:type="dxa"/>
        </w:tblCellMar>
        <w:tblLook w:val="04A0"/>
      </w:tblPr>
      <w:tblGrid>
        <w:gridCol w:w="3971"/>
        <w:gridCol w:w="258"/>
        <w:gridCol w:w="956"/>
        <w:gridCol w:w="956"/>
        <w:gridCol w:w="258"/>
        <w:gridCol w:w="956"/>
        <w:gridCol w:w="258"/>
        <w:gridCol w:w="935"/>
        <w:gridCol w:w="935"/>
      </w:tblGrid>
      <w:tr w:rsidR="00E77466" w:rsidRPr="00E77466" w:rsidTr="00E77466">
        <w:trPr>
          <w:trHeight w:val="270"/>
        </w:trPr>
        <w:tc>
          <w:tcPr>
            <w:tcW w:w="0" w:type="auto"/>
            <w:tcBorders>
              <w:top w:val="single" w:sz="8" w:space="0" w:color="auto"/>
              <w:left w:val="nil"/>
              <w:bottom w:val="nil"/>
              <w:right w:val="nil"/>
            </w:tcBorders>
            <w:shd w:val="clear" w:color="auto" w:fill="DBE5F1"/>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tcBorders>
              <w:top w:val="single" w:sz="8" w:space="0" w:color="auto"/>
              <w:left w:val="nil"/>
              <w:bottom w:val="nil"/>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gridSpan w:val="2"/>
            <w:tcBorders>
              <w:top w:val="single" w:sz="8" w:space="0" w:color="auto"/>
              <w:left w:val="nil"/>
              <w:bottom w:val="nil"/>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center"/>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2014</w:t>
            </w:r>
          </w:p>
        </w:tc>
        <w:tc>
          <w:tcPr>
            <w:tcW w:w="0" w:type="auto"/>
            <w:tcBorders>
              <w:top w:val="single" w:sz="8" w:space="0" w:color="auto"/>
              <w:left w:val="nil"/>
              <w:bottom w:val="nil"/>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rPr>
                <w:rFonts w:ascii="Arial" w:eastAsia="Times New Roman" w:hAnsi="Arial" w:cs="Arial"/>
                <w:color w:val="222222"/>
                <w:sz w:val="24"/>
                <w:szCs w:val="24"/>
              </w:rPr>
            </w:pPr>
          </w:p>
        </w:tc>
        <w:tc>
          <w:tcPr>
            <w:tcW w:w="0" w:type="auto"/>
            <w:tcBorders>
              <w:top w:val="single" w:sz="8" w:space="0" w:color="auto"/>
              <w:left w:val="nil"/>
              <w:bottom w:val="nil"/>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center"/>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2015</w:t>
            </w:r>
          </w:p>
        </w:tc>
        <w:tc>
          <w:tcPr>
            <w:tcW w:w="0" w:type="auto"/>
            <w:tcBorders>
              <w:top w:val="single" w:sz="8" w:space="0" w:color="auto"/>
              <w:left w:val="nil"/>
              <w:bottom w:val="nil"/>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gridSpan w:val="2"/>
            <w:tcBorders>
              <w:top w:val="single" w:sz="8" w:space="0" w:color="auto"/>
              <w:left w:val="nil"/>
              <w:bottom w:val="single" w:sz="8" w:space="0" w:color="auto"/>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Growth Rate (%)</w:t>
            </w:r>
          </w:p>
        </w:tc>
      </w:tr>
      <w:tr w:rsidR="00E77466" w:rsidRPr="00E77466" w:rsidTr="00E77466">
        <w:trPr>
          <w:trHeight w:val="270"/>
        </w:trPr>
        <w:tc>
          <w:tcPr>
            <w:tcW w:w="0" w:type="auto"/>
            <w:tcBorders>
              <w:top w:val="nil"/>
              <w:left w:val="nil"/>
              <w:bottom w:val="single" w:sz="8" w:space="0" w:color="auto"/>
              <w:right w:val="nil"/>
            </w:tcBorders>
            <w:shd w:val="clear" w:color="auto" w:fill="DBE5F1"/>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tcBorders>
              <w:top w:val="nil"/>
              <w:left w:val="nil"/>
              <w:bottom w:val="single" w:sz="8" w:space="0" w:color="auto"/>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tcBorders>
              <w:top w:val="single" w:sz="8" w:space="0" w:color="auto"/>
              <w:left w:val="nil"/>
              <w:bottom w:val="single" w:sz="8" w:space="0" w:color="auto"/>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center"/>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Q1</w:t>
            </w:r>
          </w:p>
        </w:tc>
        <w:tc>
          <w:tcPr>
            <w:tcW w:w="0" w:type="auto"/>
            <w:tcBorders>
              <w:top w:val="single" w:sz="8" w:space="0" w:color="auto"/>
              <w:left w:val="nil"/>
              <w:bottom w:val="single" w:sz="8" w:space="0" w:color="auto"/>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center"/>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Q4</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rPr>
                <w:rFonts w:ascii="Arial" w:eastAsia="Times New Roman" w:hAnsi="Arial" w:cs="Arial"/>
                <w:color w:val="222222"/>
                <w:sz w:val="24"/>
                <w:szCs w:val="24"/>
              </w:rPr>
            </w:pPr>
          </w:p>
        </w:tc>
        <w:tc>
          <w:tcPr>
            <w:tcW w:w="0" w:type="auto"/>
            <w:tcBorders>
              <w:top w:val="single" w:sz="8" w:space="0" w:color="auto"/>
              <w:left w:val="nil"/>
              <w:bottom w:val="single" w:sz="8" w:space="0" w:color="auto"/>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center"/>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Q1</w:t>
            </w:r>
          </w:p>
        </w:tc>
        <w:tc>
          <w:tcPr>
            <w:tcW w:w="0" w:type="auto"/>
            <w:tcBorders>
              <w:top w:val="nil"/>
              <w:left w:val="nil"/>
              <w:bottom w:val="single" w:sz="8" w:space="0" w:color="auto"/>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tcBorders>
              <w:top w:val="nil"/>
              <w:left w:val="nil"/>
              <w:bottom w:val="single" w:sz="8" w:space="0" w:color="auto"/>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2014-Q1</w:t>
            </w:r>
          </w:p>
        </w:tc>
        <w:tc>
          <w:tcPr>
            <w:tcW w:w="0" w:type="auto"/>
            <w:tcBorders>
              <w:top w:val="nil"/>
              <w:left w:val="nil"/>
              <w:bottom w:val="single" w:sz="8" w:space="0" w:color="auto"/>
              <w:right w:val="nil"/>
            </w:tcBorders>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2015-Q1</w:t>
            </w:r>
          </w:p>
        </w:tc>
      </w:tr>
      <w:tr w:rsidR="00E77466" w:rsidRPr="00E77466" w:rsidTr="00E77466">
        <w:trPr>
          <w:trHeight w:val="270"/>
        </w:trPr>
        <w:tc>
          <w:tcPr>
            <w:tcW w:w="0" w:type="auto"/>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xml:space="preserve">Land Values (per </w:t>
            </w:r>
            <w:proofErr w:type="spellStart"/>
            <w:r w:rsidRPr="00E77466">
              <w:rPr>
                <w:rFonts w:ascii="Estrangelo Edessa" w:eastAsia="Times New Roman" w:hAnsi="Estrangelo Edessa" w:cs="Estrangelo Edessa"/>
                <w:color w:val="000000"/>
                <w:sz w:val="20"/>
                <w:szCs w:val="20"/>
              </w:rPr>
              <w:t>sqm</w:t>
            </w:r>
            <w:proofErr w:type="spellEnd"/>
            <w:r w:rsidRPr="00E77466">
              <w:rPr>
                <w:rFonts w:ascii="Estrangelo Edessa" w:eastAsia="Times New Roman" w:hAnsi="Estrangelo Edessa" w:cs="Estrangelo Edessa"/>
                <w:color w:val="000000"/>
                <w:sz w:val="20"/>
                <w:szCs w:val="20"/>
              </w:rPr>
              <w:t>)</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Makati CBD</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222222"/>
                <w:sz w:val="20"/>
                <w:szCs w:val="20"/>
              </w:rPr>
              <w:t>  353,797</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440,000</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443,750</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18.7</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25.4</w:t>
            </w:r>
          </w:p>
        </w:tc>
      </w:tr>
      <w:tr w:rsidR="00E77466" w:rsidRPr="00E77466" w:rsidTr="00E77466">
        <w:trPr>
          <w:trHeight w:val="270"/>
        </w:trPr>
        <w:tc>
          <w:tcPr>
            <w:tcW w:w="0" w:type="auto"/>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proofErr w:type="spellStart"/>
            <w:r w:rsidRPr="00E77466">
              <w:rPr>
                <w:rFonts w:ascii="Estrangelo Edessa" w:eastAsia="Times New Roman" w:hAnsi="Estrangelo Edessa" w:cs="Estrangelo Edessa"/>
                <w:color w:val="000000"/>
                <w:sz w:val="20"/>
                <w:szCs w:val="20"/>
              </w:rPr>
              <w:t>Ortigas</w:t>
            </w:r>
            <w:proofErr w:type="spellEnd"/>
            <w:r w:rsidRPr="00E77466">
              <w:rPr>
                <w:rFonts w:ascii="Estrangelo Edessa" w:eastAsia="Times New Roman" w:hAnsi="Estrangelo Edessa" w:cs="Estrangelo Edessa"/>
                <w:color w:val="000000"/>
                <w:sz w:val="20"/>
                <w:szCs w:val="20"/>
              </w:rPr>
              <w:t xml:space="preserve"> Centre</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222222"/>
                <w:sz w:val="20"/>
                <w:szCs w:val="20"/>
              </w:rPr>
              <w:t>  146,460</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158,500</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161,500</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7.7</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10.3</w:t>
            </w:r>
          </w:p>
        </w:tc>
      </w:tr>
      <w:tr w:rsidR="00E77466" w:rsidRPr="00E77466" w:rsidTr="00E77466">
        <w:trPr>
          <w:trHeight w:val="270"/>
        </w:trPr>
        <w:tc>
          <w:tcPr>
            <w:tcW w:w="0" w:type="auto"/>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xml:space="preserve">Fort </w:t>
            </w:r>
            <w:proofErr w:type="spellStart"/>
            <w:r w:rsidRPr="00E77466">
              <w:rPr>
                <w:rFonts w:ascii="Estrangelo Edessa" w:eastAsia="Times New Roman" w:hAnsi="Estrangelo Edessa" w:cs="Estrangelo Edessa"/>
                <w:color w:val="000000"/>
                <w:sz w:val="20"/>
                <w:szCs w:val="20"/>
              </w:rPr>
              <w:t>Bonifacio</w:t>
            </w:r>
            <w:proofErr w:type="spellEnd"/>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222222"/>
                <w:sz w:val="20"/>
                <w:szCs w:val="20"/>
              </w:rPr>
              <w:t>  266,048</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382,500</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386,500</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9.7</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45.3</w:t>
            </w:r>
          </w:p>
        </w:tc>
      </w:tr>
      <w:tr w:rsidR="00E77466" w:rsidRPr="00E77466" w:rsidTr="00E77466">
        <w:trPr>
          <w:trHeight w:val="540"/>
        </w:trPr>
        <w:tc>
          <w:tcPr>
            <w:tcW w:w="0" w:type="auto"/>
            <w:shd w:val="clear" w:color="auto" w:fill="DBE5F1"/>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xml:space="preserve">Makati CBD Office Rental Rates (per </w:t>
            </w:r>
            <w:proofErr w:type="spellStart"/>
            <w:r w:rsidRPr="00E77466">
              <w:rPr>
                <w:rFonts w:ascii="Estrangelo Edessa" w:eastAsia="Times New Roman" w:hAnsi="Estrangelo Edessa" w:cs="Estrangelo Edessa"/>
                <w:color w:val="000000"/>
                <w:sz w:val="20"/>
                <w:szCs w:val="20"/>
              </w:rPr>
              <w:t>sqm</w:t>
            </w:r>
            <w:proofErr w:type="spellEnd"/>
            <w:r w:rsidRPr="00E77466">
              <w:rPr>
                <w:rFonts w:ascii="Estrangelo Edessa" w:eastAsia="Times New Roman" w:hAnsi="Estrangelo Edessa" w:cs="Estrangelo Edessa"/>
                <w:color w:val="000000"/>
                <w:sz w:val="20"/>
                <w:szCs w:val="20"/>
              </w:rPr>
              <w:t xml:space="preserve"> per month)</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DBE5F1"/>
            <w:tcMar>
              <w:top w:w="0" w:type="dxa"/>
              <w:left w:w="108" w:type="dxa"/>
              <w:bottom w:w="0" w:type="dxa"/>
              <w:right w:w="108" w:type="dxa"/>
            </w:tcMar>
            <w:vAlign w:val="bottom"/>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Premium</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1,058</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1,150</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1,175</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7.9</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11.1</w:t>
            </w:r>
          </w:p>
        </w:tc>
      </w:tr>
      <w:tr w:rsidR="00E77466" w:rsidRPr="00E77466" w:rsidTr="00E77466">
        <w:trPr>
          <w:trHeight w:val="270"/>
        </w:trPr>
        <w:tc>
          <w:tcPr>
            <w:tcW w:w="0" w:type="auto"/>
            <w:shd w:val="clear" w:color="auto" w:fill="DBE5F1"/>
            <w:tcMar>
              <w:top w:w="0" w:type="dxa"/>
              <w:left w:w="108" w:type="dxa"/>
              <w:bottom w:w="0" w:type="dxa"/>
              <w:right w:w="108" w:type="dxa"/>
            </w:tcMar>
            <w:vAlign w:val="bottom"/>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Grade A</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790</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850</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878</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7.1</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11.1</w:t>
            </w:r>
          </w:p>
        </w:tc>
      </w:tr>
      <w:tr w:rsidR="00E77466" w:rsidRPr="00E77466" w:rsidTr="00E77466">
        <w:trPr>
          <w:trHeight w:val="270"/>
        </w:trPr>
        <w:tc>
          <w:tcPr>
            <w:tcW w:w="0" w:type="auto"/>
            <w:shd w:val="clear" w:color="auto" w:fill="DBE5F1"/>
            <w:tcMar>
              <w:top w:w="0" w:type="dxa"/>
              <w:left w:w="108" w:type="dxa"/>
              <w:bottom w:w="0" w:type="dxa"/>
              <w:right w:w="108" w:type="dxa"/>
            </w:tcMar>
            <w:vAlign w:val="bottom"/>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Grade B</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565</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660</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673</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10.2</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19.0</w:t>
            </w:r>
          </w:p>
        </w:tc>
      </w:tr>
      <w:tr w:rsidR="00E77466" w:rsidRPr="00E77466" w:rsidTr="00E77466">
        <w:trPr>
          <w:trHeight w:val="270"/>
        </w:trPr>
        <w:tc>
          <w:tcPr>
            <w:tcW w:w="0" w:type="auto"/>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Makati CBD Vacancy Rate</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Residential (All Grade)</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10.9</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8.1</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7.9</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Luxury</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rPr>
                <w:rFonts w:ascii="Arial" w:eastAsia="Times New Roman" w:hAnsi="Arial" w:cs="Arial"/>
                <w:color w:val="222222"/>
                <w:sz w:val="24"/>
                <w:szCs w:val="24"/>
              </w:rPr>
            </w:pP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4.6</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center"/>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4.4</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rPr>
                <w:rFonts w:ascii="Arial" w:eastAsia="Times New Roman" w:hAnsi="Arial" w:cs="Arial"/>
                <w:color w:val="222222"/>
                <w:sz w:val="24"/>
                <w:szCs w:val="24"/>
              </w:rPr>
            </w:pP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3.6</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rPr>
                <w:rFonts w:ascii="Arial" w:eastAsia="Times New Roman" w:hAnsi="Arial" w:cs="Arial"/>
                <w:color w:val="222222"/>
                <w:sz w:val="24"/>
                <w:szCs w:val="24"/>
              </w:rPr>
            </w:pP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rPr>
                <w:rFonts w:ascii="Arial" w:eastAsia="Times New Roman" w:hAnsi="Arial" w:cs="Arial"/>
                <w:color w:val="222222"/>
                <w:sz w:val="24"/>
                <w:szCs w:val="24"/>
              </w:rPr>
            </w:pP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rPr>
                <w:rFonts w:ascii="Arial" w:eastAsia="Times New Roman" w:hAnsi="Arial" w:cs="Arial"/>
                <w:color w:val="222222"/>
                <w:sz w:val="24"/>
                <w:szCs w:val="24"/>
              </w:rPr>
            </w:pPr>
          </w:p>
        </w:tc>
      </w:tr>
      <w:tr w:rsidR="00E77466" w:rsidRPr="00E77466" w:rsidTr="00E77466">
        <w:trPr>
          <w:trHeight w:val="270"/>
        </w:trPr>
        <w:tc>
          <w:tcPr>
            <w:tcW w:w="0" w:type="auto"/>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Office</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4.2</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2.2</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2.2</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DBE5F1"/>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REL/TLP (exclusive of IBL)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center"/>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17.8</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18.6</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DBE5F1"/>
            <w:tcMar>
              <w:top w:w="0" w:type="dxa"/>
              <w:left w:w="108" w:type="dxa"/>
              <w:bottom w:w="0" w:type="dxa"/>
              <w:right w:w="108" w:type="dxa"/>
            </w:tcMar>
            <w:vAlign w:val="center"/>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222222"/>
                <w:sz w:val="20"/>
                <w:szCs w:val="20"/>
              </w:rPr>
              <w:t>Gross NPREL / REL</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center"/>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2.8</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2.5</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DBE5F1"/>
            <w:tcMar>
              <w:top w:w="0" w:type="dxa"/>
              <w:left w:w="108" w:type="dxa"/>
              <w:bottom w:w="0" w:type="dxa"/>
              <w:right w:w="108" w:type="dxa"/>
            </w:tcMar>
            <w:vAlign w:val="center"/>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222222"/>
                <w:sz w:val="20"/>
                <w:szCs w:val="20"/>
              </w:rPr>
              <w:t>Gross NP Residential REL / Residential REL</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center"/>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3.1</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3.1</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DBE5F1"/>
            <w:tcMar>
              <w:top w:w="0" w:type="dxa"/>
              <w:left w:w="108" w:type="dxa"/>
              <w:bottom w:w="0" w:type="dxa"/>
              <w:right w:w="108" w:type="dxa"/>
            </w:tcMar>
            <w:vAlign w:val="center"/>
            <w:hideMark/>
          </w:tcPr>
          <w:p w:rsidR="00E77466" w:rsidRPr="00E77466" w:rsidRDefault="00E77466" w:rsidP="00E77466">
            <w:pPr>
              <w:spacing w:after="0" w:line="240" w:lineRule="auto"/>
              <w:ind w:firstLine="200"/>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222222"/>
                <w:sz w:val="20"/>
                <w:szCs w:val="20"/>
              </w:rPr>
              <w:t>Gross NP Commercial REL/ Commercial REL</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center"/>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2.6</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2.1</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DBE5F1"/>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FFFFFF"/>
            <w:tcMar>
              <w:top w:w="0" w:type="dxa"/>
              <w:left w:w="108" w:type="dxa"/>
              <w:bottom w:w="0" w:type="dxa"/>
              <w:right w:w="108" w:type="dxa"/>
            </w:tcMar>
            <w:vAlign w:val="center"/>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222222"/>
                <w:sz w:val="20"/>
                <w:szCs w:val="20"/>
              </w:rPr>
              <w:t>Property Index (end-of-period)</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222222"/>
                <w:sz w:val="20"/>
                <w:szCs w:val="20"/>
              </w:rPr>
              <w:t>       2,484</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2,810</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3,193</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PSE Index</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222222"/>
                <w:sz w:val="20"/>
                <w:szCs w:val="20"/>
              </w:rPr>
              <w:t>       6,429</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7,231</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7,941</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Price-Earnings Ratio</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19.4</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21.5</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22.7</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r w:rsidR="00E77466" w:rsidRPr="00E77466" w:rsidTr="00E77466">
        <w:trPr>
          <w:trHeight w:val="270"/>
        </w:trPr>
        <w:tc>
          <w:tcPr>
            <w:tcW w:w="0" w:type="auto"/>
            <w:gridSpan w:val="4"/>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Source: BSP; Colliers International Philippines</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c>
          <w:tcPr>
            <w:tcW w:w="0" w:type="auto"/>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77466" w:rsidRPr="00E77466" w:rsidRDefault="00E77466" w:rsidP="00E77466">
            <w:pPr>
              <w:spacing w:after="0" w:line="240" w:lineRule="auto"/>
              <w:jc w:val="both"/>
              <w:rPr>
                <w:rFonts w:ascii="Times New Roman" w:eastAsia="Times New Roman" w:hAnsi="Times New Roman" w:cs="Times New Roman"/>
                <w:color w:val="222222"/>
                <w:sz w:val="24"/>
                <w:szCs w:val="24"/>
              </w:rPr>
            </w:pPr>
            <w:r w:rsidRPr="00E77466">
              <w:rPr>
                <w:rFonts w:ascii="Estrangelo Edessa" w:eastAsia="Times New Roman" w:hAnsi="Estrangelo Edessa" w:cs="Estrangelo Edessa"/>
                <w:color w:val="000000"/>
                <w:sz w:val="20"/>
                <w:szCs w:val="20"/>
              </w:rPr>
              <w:t> </w:t>
            </w:r>
          </w:p>
        </w:tc>
      </w:tr>
    </w:tbl>
    <w:p w:rsidR="00E77466" w:rsidRPr="00E77466" w:rsidRDefault="00E77466" w:rsidP="00E77466">
      <w:pPr>
        <w:shd w:val="clear" w:color="auto" w:fill="FFFFFF"/>
        <w:spacing w:after="0" w:line="240" w:lineRule="auto"/>
        <w:jc w:val="both"/>
        <w:rPr>
          <w:rFonts w:ascii="Arial" w:eastAsia="Times New Roman" w:hAnsi="Arial" w:cs="Arial"/>
          <w:color w:val="222222"/>
          <w:sz w:val="24"/>
          <w:szCs w:val="24"/>
        </w:rPr>
      </w:pPr>
      <w:r w:rsidRPr="00E77466">
        <w:rPr>
          <w:rFonts w:ascii="Tahoma" w:eastAsia="Times New Roman" w:hAnsi="Tahoma" w:cs="Tahoma"/>
          <w:color w:val="222222"/>
          <w:sz w:val="20"/>
          <w:szCs w:val="20"/>
        </w:rPr>
        <w:t> </w:t>
      </w:r>
    </w:p>
    <w:p w:rsidR="00E77466" w:rsidRPr="00E77466" w:rsidRDefault="00E77466" w:rsidP="00E77466">
      <w:pPr>
        <w:shd w:val="clear" w:color="auto" w:fill="FFFFFF"/>
        <w:spacing w:after="0" w:line="240" w:lineRule="auto"/>
        <w:jc w:val="center"/>
        <w:rPr>
          <w:rFonts w:ascii="Arial" w:eastAsia="Times New Roman" w:hAnsi="Arial" w:cs="Arial"/>
          <w:color w:val="222222"/>
          <w:sz w:val="24"/>
          <w:szCs w:val="24"/>
        </w:rPr>
      </w:pPr>
      <w:r w:rsidRPr="00E77466">
        <w:rPr>
          <w:rFonts w:ascii="Tahoma" w:eastAsia="Times New Roman" w:hAnsi="Tahoma" w:cs="Tahoma"/>
          <w:b/>
          <w:bCs/>
          <w:color w:val="222222"/>
          <w:sz w:val="20"/>
          <w:szCs w:val="20"/>
        </w:rPr>
        <w:t>Table 2: Real Estate Value-Added Growth Rate</w:t>
      </w:r>
    </w:p>
    <w:tbl>
      <w:tblPr>
        <w:tblW w:w="0" w:type="auto"/>
        <w:jc w:val="center"/>
        <w:tblCellMar>
          <w:left w:w="0" w:type="dxa"/>
          <w:right w:w="0" w:type="dxa"/>
        </w:tblCellMar>
        <w:tblLook w:val="04A0"/>
      </w:tblPr>
      <w:tblGrid>
        <w:gridCol w:w="3962"/>
        <w:gridCol w:w="653"/>
        <w:gridCol w:w="653"/>
        <w:gridCol w:w="653"/>
        <w:gridCol w:w="977"/>
      </w:tblGrid>
      <w:tr w:rsidR="00E77466" w:rsidRPr="00E77466" w:rsidTr="00E77466">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 </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2012</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2013</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2014</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2015-Q1</w:t>
            </w:r>
          </w:p>
        </w:tc>
      </w:tr>
      <w:tr w:rsidR="00E77466" w:rsidRPr="00E77466" w:rsidTr="00E77466">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Real Estate Value-Added Growth Rate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18.1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18.3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77466" w:rsidRPr="00E77466" w:rsidRDefault="00E77466" w:rsidP="00E77466">
            <w:pPr>
              <w:spacing w:after="0" w:line="240" w:lineRule="auto"/>
              <w:jc w:val="both"/>
              <w:rPr>
                <w:rFonts w:ascii="Times New Roman" w:eastAsia="Times New Roman" w:hAnsi="Times New Roman" w:cs="Times New Roman"/>
                <w:sz w:val="24"/>
                <w:szCs w:val="24"/>
              </w:rPr>
            </w:pPr>
            <w:r w:rsidRPr="00E77466">
              <w:rPr>
                <w:rFonts w:ascii="Tahoma" w:eastAsia="Times New Roman" w:hAnsi="Tahoma" w:cs="Tahoma"/>
                <w:sz w:val="20"/>
                <w:szCs w:val="20"/>
              </w:rPr>
              <w:t>15.2</w:t>
            </w:r>
          </w:p>
        </w:tc>
      </w:tr>
    </w:tbl>
    <w:p w:rsidR="00E77466" w:rsidRPr="00E77466" w:rsidRDefault="00E77466" w:rsidP="00E77466">
      <w:pPr>
        <w:shd w:val="clear" w:color="auto" w:fill="FFFFFF"/>
        <w:spacing w:after="0" w:line="240" w:lineRule="auto"/>
        <w:jc w:val="both"/>
        <w:rPr>
          <w:rFonts w:ascii="Arial" w:eastAsia="Times New Roman" w:hAnsi="Arial" w:cs="Arial"/>
          <w:color w:val="222222"/>
          <w:sz w:val="24"/>
          <w:szCs w:val="24"/>
        </w:rPr>
      </w:pPr>
      <w:r w:rsidRPr="00E77466">
        <w:rPr>
          <w:rFonts w:ascii="Tahoma" w:eastAsia="Times New Roman" w:hAnsi="Tahoma" w:cs="Tahoma"/>
          <w:color w:val="222222"/>
          <w:sz w:val="20"/>
          <w:szCs w:val="20"/>
        </w:rPr>
        <w:t> </w:t>
      </w:r>
    </w:p>
    <w:p w:rsidR="00E77466" w:rsidRPr="00E77466" w:rsidRDefault="00E77466" w:rsidP="00E77466">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E77466">
        <w:rPr>
          <w:rFonts w:ascii="Symbol" w:eastAsia="Times New Roman" w:hAnsi="Symbol" w:cs="Arial"/>
          <w:color w:val="222222"/>
          <w:sz w:val="20"/>
          <w:szCs w:val="20"/>
        </w:rPr>
        <w:t></w:t>
      </w:r>
      <w:r w:rsidRPr="00E77466">
        <w:rPr>
          <w:rFonts w:ascii="Times New Roman" w:eastAsia="Times New Roman" w:hAnsi="Times New Roman" w:cs="Times New Roman"/>
          <w:color w:val="222222"/>
          <w:sz w:val="14"/>
          <w:szCs w:val="14"/>
        </w:rPr>
        <w:t>        </w:t>
      </w:r>
      <w:r w:rsidRPr="00E77466">
        <w:rPr>
          <w:rFonts w:ascii="Times New Roman" w:eastAsia="Times New Roman" w:hAnsi="Times New Roman" w:cs="Times New Roman"/>
          <w:color w:val="222222"/>
          <w:sz w:val="14"/>
        </w:rPr>
        <w:t> </w:t>
      </w:r>
      <w:r w:rsidRPr="00E77466">
        <w:rPr>
          <w:rFonts w:ascii="Tahoma" w:eastAsia="Times New Roman" w:hAnsi="Tahoma" w:cs="Tahoma"/>
          <w:color w:val="222222"/>
          <w:sz w:val="20"/>
          <w:szCs w:val="20"/>
        </w:rPr>
        <w:t xml:space="preserve">Land values in the three CBDs surged by double digit rates in the first quarter of 2015. Notable fast-rising land values are in Fort </w:t>
      </w:r>
      <w:proofErr w:type="spellStart"/>
      <w:r w:rsidRPr="00E77466">
        <w:rPr>
          <w:rFonts w:ascii="Tahoma" w:eastAsia="Times New Roman" w:hAnsi="Tahoma" w:cs="Tahoma"/>
          <w:color w:val="222222"/>
          <w:sz w:val="20"/>
          <w:szCs w:val="20"/>
        </w:rPr>
        <w:t>Bonifacio</w:t>
      </w:r>
      <w:proofErr w:type="spellEnd"/>
      <w:r w:rsidRPr="00E77466">
        <w:rPr>
          <w:rFonts w:ascii="Tahoma" w:eastAsia="Times New Roman" w:hAnsi="Tahoma" w:cs="Tahoma"/>
          <w:color w:val="222222"/>
          <w:sz w:val="20"/>
          <w:szCs w:val="20"/>
        </w:rPr>
        <w:t xml:space="preserve"> which skyrocketed by nearly 50%. This development in Fort </w:t>
      </w:r>
      <w:proofErr w:type="spellStart"/>
      <w:r w:rsidRPr="00E77466">
        <w:rPr>
          <w:rFonts w:ascii="Tahoma" w:eastAsia="Times New Roman" w:hAnsi="Tahoma" w:cs="Tahoma"/>
          <w:color w:val="222222"/>
          <w:sz w:val="20"/>
          <w:szCs w:val="20"/>
        </w:rPr>
        <w:t>Bonifacio</w:t>
      </w:r>
      <w:proofErr w:type="spellEnd"/>
      <w:r w:rsidRPr="00E77466">
        <w:rPr>
          <w:rFonts w:ascii="Tahoma" w:eastAsia="Times New Roman" w:hAnsi="Tahoma" w:cs="Tahoma"/>
          <w:color w:val="222222"/>
          <w:sz w:val="20"/>
          <w:szCs w:val="20"/>
        </w:rPr>
        <w:t xml:space="preserve"> reflects the growing popularity of the CBD as an alternative to Makati. For example, the Fort </w:t>
      </w:r>
      <w:proofErr w:type="spellStart"/>
      <w:r w:rsidRPr="00E77466">
        <w:rPr>
          <w:rFonts w:ascii="Tahoma" w:eastAsia="Times New Roman" w:hAnsi="Tahoma" w:cs="Tahoma"/>
          <w:color w:val="222222"/>
          <w:sz w:val="20"/>
          <w:szCs w:val="20"/>
        </w:rPr>
        <w:t>Bonifacio</w:t>
      </w:r>
      <w:proofErr w:type="spellEnd"/>
      <w:r w:rsidRPr="00E77466">
        <w:rPr>
          <w:rFonts w:ascii="Tahoma" w:eastAsia="Times New Roman" w:hAnsi="Tahoma" w:cs="Tahoma"/>
          <w:color w:val="222222"/>
          <w:sz w:val="20"/>
          <w:szCs w:val="20"/>
        </w:rPr>
        <w:t xml:space="preserve"> Development Corporation has signed last month with Philippine Stock Exchange (PSE) an offer to sell. The PSE is expected to transfer to the BGC its unified trading floor and corporate headquarters by the end of 2016.</w:t>
      </w:r>
    </w:p>
    <w:p w:rsidR="00E77466" w:rsidRPr="00E77466" w:rsidRDefault="00E77466" w:rsidP="00E77466">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E77466">
        <w:rPr>
          <w:rFonts w:ascii="Symbol" w:eastAsia="Times New Roman" w:hAnsi="Symbol" w:cs="Arial"/>
          <w:color w:val="222222"/>
          <w:sz w:val="20"/>
          <w:szCs w:val="20"/>
        </w:rPr>
        <w:t></w:t>
      </w:r>
      <w:r w:rsidRPr="00E77466">
        <w:rPr>
          <w:rFonts w:ascii="Times New Roman" w:eastAsia="Times New Roman" w:hAnsi="Times New Roman" w:cs="Times New Roman"/>
          <w:color w:val="222222"/>
          <w:sz w:val="14"/>
          <w:szCs w:val="14"/>
        </w:rPr>
        <w:t>        </w:t>
      </w:r>
      <w:r w:rsidRPr="00E77466">
        <w:rPr>
          <w:rFonts w:ascii="Times New Roman" w:eastAsia="Times New Roman" w:hAnsi="Times New Roman" w:cs="Times New Roman"/>
          <w:color w:val="222222"/>
          <w:sz w:val="14"/>
        </w:rPr>
        <w:t> </w:t>
      </w:r>
      <w:r w:rsidRPr="00E77466">
        <w:rPr>
          <w:rFonts w:ascii="Tahoma" w:eastAsia="Times New Roman" w:hAnsi="Tahoma" w:cs="Tahoma"/>
          <w:color w:val="222222"/>
          <w:sz w:val="20"/>
          <w:szCs w:val="20"/>
        </w:rPr>
        <w:t>Office rental rates also grew in the double digits in the first quarter, up 11.1% for both premium and Grade A and up 19% for Grade B..</w:t>
      </w:r>
    </w:p>
    <w:p w:rsidR="00E77466" w:rsidRPr="00E77466" w:rsidRDefault="00E77466" w:rsidP="00E77466">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E77466">
        <w:rPr>
          <w:rFonts w:ascii="Symbol" w:eastAsia="Times New Roman" w:hAnsi="Symbol" w:cs="Arial"/>
          <w:color w:val="222222"/>
          <w:sz w:val="20"/>
          <w:szCs w:val="20"/>
        </w:rPr>
        <w:t></w:t>
      </w:r>
      <w:r w:rsidRPr="00E77466">
        <w:rPr>
          <w:rFonts w:ascii="Times New Roman" w:eastAsia="Times New Roman" w:hAnsi="Times New Roman" w:cs="Times New Roman"/>
          <w:color w:val="222222"/>
          <w:sz w:val="14"/>
          <w:szCs w:val="14"/>
        </w:rPr>
        <w:t>        </w:t>
      </w:r>
      <w:r w:rsidRPr="00E77466">
        <w:rPr>
          <w:rFonts w:ascii="Times New Roman" w:eastAsia="Times New Roman" w:hAnsi="Times New Roman" w:cs="Times New Roman"/>
          <w:color w:val="222222"/>
          <w:sz w:val="14"/>
        </w:rPr>
        <w:t> </w:t>
      </w:r>
      <w:r w:rsidRPr="00E77466">
        <w:rPr>
          <w:rFonts w:ascii="Tahoma" w:eastAsia="Times New Roman" w:hAnsi="Tahoma" w:cs="Tahoma"/>
          <w:color w:val="222222"/>
          <w:sz w:val="20"/>
          <w:szCs w:val="20"/>
        </w:rPr>
        <w:t>Vacancy rates continue to drop despite new openings due to high take-up, including luxury grade residences.   </w:t>
      </w:r>
    </w:p>
    <w:p w:rsidR="00E77466" w:rsidRPr="00E77466" w:rsidRDefault="00E77466" w:rsidP="00E77466">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E77466">
        <w:rPr>
          <w:rFonts w:ascii="Symbol" w:eastAsia="Times New Roman" w:hAnsi="Symbol" w:cs="Arial"/>
          <w:color w:val="222222"/>
          <w:sz w:val="20"/>
          <w:szCs w:val="20"/>
        </w:rPr>
        <w:t></w:t>
      </w:r>
      <w:r w:rsidRPr="00E77466">
        <w:rPr>
          <w:rFonts w:ascii="Times New Roman" w:eastAsia="Times New Roman" w:hAnsi="Times New Roman" w:cs="Times New Roman"/>
          <w:color w:val="222222"/>
          <w:sz w:val="14"/>
          <w:szCs w:val="14"/>
        </w:rPr>
        <w:t>        </w:t>
      </w:r>
      <w:r w:rsidRPr="00E77466">
        <w:rPr>
          <w:rFonts w:ascii="Times New Roman" w:eastAsia="Times New Roman" w:hAnsi="Times New Roman" w:cs="Times New Roman"/>
          <w:color w:val="222222"/>
          <w:sz w:val="14"/>
        </w:rPr>
        <w:t> </w:t>
      </w:r>
      <w:r w:rsidRPr="00E77466">
        <w:rPr>
          <w:rFonts w:ascii="Tahoma" w:eastAsia="Times New Roman" w:hAnsi="Tahoma" w:cs="Tahoma"/>
          <w:color w:val="222222"/>
          <w:sz w:val="20"/>
          <w:szCs w:val="20"/>
        </w:rPr>
        <w:t>The banking sector's exposure to the real estate market has increased, as shown by the real estate loans rising to 18.6% of total loan portfolio. The quality of real estate loans, however, still remain at healthy levels with non-performing real estate loans (NPREL) amounting to only 2.5% of total REL.</w:t>
      </w:r>
    </w:p>
    <w:p w:rsidR="00E77466" w:rsidRPr="00E77466" w:rsidRDefault="00E77466" w:rsidP="00E77466">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E77466">
        <w:rPr>
          <w:rFonts w:ascii="Symbol" w:eastAsia="Times New Roman" w:hAnsi="Symbol" w:cs="Arial"/>
          <w:color w:val="222222"/>
          <w:sz w:val="20"/>
          <w:szCs w:val="20"/>
        </w:rPr>
        <w:lastRenderedPageBreak/>
        <w:t></w:t>
      </w:r>
      <w:r w:rsidRPr="00E77466">
        <w:rPr>
          <w:rFonts w:ascii="Times New Roman" w:eastAsia="Times New Roman" w:hAnsi="Times New Roman" w:cs="Times New Roman"/>
          <w:color w:val="222222"/>
          <w:sz w:val="14"/>
          <w:szCs w:val="14"/>
        </w:rPr>
        <w:t>        </w:t>
      </w:r>
      <w:r w:rsidRPr="00E77466">
        <w:rPr>
          <w:rFonts w:ascii="Times New Roman" w:eastAsia="Times New Roman" w:hAnsi="Times New Roman" w:cs="Times New Roman"/>
          <w:color w:val="222222"/>
          <w:sz w:val="14"/>
        </w:rPr>
        <w:t> </w:t>
      </w:r>
      <w:r w:rsidRPr="00E77466">
        <w:rPr>
          <w:rFonts w:ascii="Tahoma" w:eastAsia="Times New Roman" w:hAnsi="Tahoma" w:cs="Tahoma"/>
          <w:color w:val="222222"/>
          <w:sz w:val="20"/>
          <w:szCs w:val="20"/>
        </w:rPr>
        <w:t>The real estate sub-sector has grown at the double-digit rates in 2012 and 2013. This growth was halved in 2014 but showed some sign of recovery in the first quarter of 2015.</w:t>
      </w:r>
    </w:p>
    <w:p w:rsidR="00E77466" w:rsidRPr="00E77466" w:rsidRDefault="00E77466" w:rsidP="00E77466">
      <w:pPr>
        <w:shd w:val="clear" w:color="auto" w:fill="FFFFFF"/>
        <w:spacing w:after="0" w:line="240" w:lineRule="auto"/>
        <w:jc w:val="both"/>
        <w:rPr>
          <w:rFonts w:ascii="Arial" w:eastAsia="Times New Roman" w:hAnsi="Arial" w:cs="Arial"/>
          <w:color w:val="222222"/>
          <w:sz w:val="24"/>
          <w:szCs w:val="24"/>
        </w:rPr>
      </w:pPr>
      <w:r w:rsidRPr="00E77466">
        <w:rPr>
          <w:rFonts w:ascii="Tahoma" w:eastAsia="Times New Roman" w:hAnsi="Tahoma" w:cs="Tahoma"/>
          <w:color w:val="222222"/>
          <w:sz w:val="20"/>
          <w:szCs w:val="20"/>
        </w:rPr>
        <w:t>DOF View</w:t>
      </w:r>
    </w:p>
    <w:p w:rsidR="00E77466" w:rsidRPr="00E77466" w:rsidRDefault="00E77466" w:rsidP="00E77466">
      <w:pPr>
        <w:shd w:val="clear" w:color="auto" w:fill="FFFFFF"/>
        <w:spacing w:before="100" w:beforeAutospacing="1" w:after="100" w:afterAutospacing="1" w:line="240" w:lineRule="auto"/>
        <w:ind w:left="765"/>
        <w:jc w:val="both"/>
        <w:rPr>
          <w:rFonts w:ascii="Arial" w:eastAsia="Times New Roman" w:hAnsi="Arial" w:cs="Arial"/>
          <w:color w:val="222222"/>
          <w:sz w:val="24"/>
          <w:szCs w:val="24"/>
        </w:rPr>
      </w:pPr>
      <w:r w:rsidRPr="00E77466">
        <w:rPr>
          <w:rFonts w:ascii="Symbol" w:eastAsia="Times New Roman" w:hAnsi="Symbol" w:cs="Arial"/>
          <w:color w:val="222222"/>
          <w:sz w:val="20"/>
          <w:szCs w:val="20"/>
        </w:rPr>
        <w:t></w:t>
      </w:r>
      <w:r w:rsidRPr="00E77466">
        <w:rPr>
          <w:rFonts w:ascii="Times New Roman" w:eastAsia="Times New Roman" w:hAnsi="Times New Roman" w:cs="Times New Roman"/>
          <w:color w:val="222222"/>
          <w:sz w:val="14"/>
          <w:szCs w:val="14"/>
        </w:rPr>
        <w:t>        </w:t>
      </w:r>
      <w:r w:rsidRPr="00E77466">
        <w:rPr>
          <w:rFonts w:ascii="Times New Roman" w:eastAsia="Times New Roman" w:hAnsi="Times New Roman" w:cs="Times New Roman"/>
          <w:color w:val="222222"/>
          <w:sz w:val="14"/>
        </w:rPr>
        <w:t> </w:t>
      </w:r>
      <w:r w:rsidRPr="00E77466">
        <w:rPr>
          <w:rFonts w:ascii="Tahoma" w:eastAsia="Times New Roman" w:hAnsi="Tahoma" w:cs="Tahoma"/>
          <w:color w:val="222222"/>
          <w:sz w:val="20"/>
          <w:szCs w:val="20"/>
        </w:rPr>
        <w:t xml:space="preserve">There is still room for more development in the BGC area. For example, </w:t>
      </w:r>
      <w:proofErr w:type="spellStart"/>
      <w:r w:rsidRPr="00E77466">
        <w:rPr>
          <w:rFonts w:ascii="Tahoma" w:eastAsia="Times New Roman" w:hAnsi="Tahoma" w:cs="Tahoma"/>
          <w:color w:val="222222"/>
          <w:sz w:val="20"/>
          <w:szCs w:val="20"/>
        </w:rPr>
        <w:t>Megaworld</w:t>
      </w:r>
      <w:proofErr w:type="spellEnd"/>
      <w:r w:rsidRPr="00E77466">
        <w:rPr>
          <w:rFonts w:ascii="Tahoma" w:eastAsia="Times New Roman" w:hAnsi="Tahoma" w:cs="Tahoma"/>
          <w:color w:val="222222"/>
          <w:sz w:val="20"/>
          <w:szCs w:val="20"/>
        </w:rPr>
        <w:t xml:space="preserve">, the largest landlord in BGC, has a </w:t>
      </w:r>
      <w:proofErr w:type="spellStart"/>
      <w:r w:rsidRPr="00E77466">
        <w:rPr>
          <w:rFonts w:ascii="Tahoma" w:eastAsia="Times New Roman" w:hAnsi="Tahoma" w:cs="Tahoma"/>
          <w:color w:val="222222"/>
          <w:sz w:val="20"/>
          <w:szCs w:val="20"/>
        </w:rPr>
        <w:t>landbank</w:t>
      </w:r>
      <w:proofErr w:type="spellEnd"/>
      <w:r w:rsidRPr="00E77466">
        <w:rPr>
          <w:rFonts w:ascii="Tahoma" w:eastAsia="Times New Roman" w:hAnsi="Tahoma" w:cs="Tahoma"/>
          <w:color w:val="222222"/>
          <w:sz w:val="20"/>
          <w:szCs w:val="20"/>
        </w:rPr>
        <w:t xml:space="preserve"> of 105 hectares. It has already fully developed the 50-hectare McKinley Hill which leaves the rest of the </w:t>
      </w:r>
      <w:proofErr w:type="spellStart"/>
      <w:r w:rsidRPr="00E77466">
        <w:rPr>
          <w:rFonts w:ascii="Tahoma" w:eastAsia="Times New Roman" w:hAnsi="Tahoma" w:cs="Tahoma"/>
          <w:color w:val="222222"/>
          <w:sz w:val="20"/>
          <w:szCs w:val="20"/>
        </w:rPr>
        <w:t>landbank</w:t>
      </w:r>
      <w:proofErr w:type="spellEnd"/>
      <w:r w:rsidRPr="00E77466">
        <w:rPr>
          <w:rFonts w:ascii="Tahoma" w:eastAsia="Times New Roman" w:hAnsi="Tahoma" w:cs="Tahoma"/>
          <w:color w:val="222222"/>
          <w:sz w:val="20"/>
          <w:szCs w:val="20"/>
        </w:rPr>
        <w:t xml:space="preserve"> to be further developed.</w:t>
      </w:r>
    </w:p>
    <w:p w:rsidR="00E77466" w:rsidRPr="00E77466" w:rsidRDefault="00E77466" w:rsidP="00E77466">
      <w:pPr>
        <w:shd w:val="clear" w:color="auto" w:fill="FFFFFF"/>
        <w:spacing w:before="100" w:beforeAutospacing="1" w:after="100" w:afterAutospacing="1" w:line="240" w:lineRule="auto"/>
        <w:ind w:left="765"/>
        <w:jc w:val="both"/>
        <w:rPr>
          <w:rFonts w:ascii="Arial" w:eastAsia="Times New Roman" w:hAnsi="Arial" w:cs="Arial"/>
          <w:color w:val="222222"/>
          <w:sz w:val="24"/>
          <w:szCs w:val="24"/>
        </w:rPr>
      </w:pPr>
      <w:r w:rsidRPr="00E77466">
        <w:rPr>
          <w:rFonts w:ascii="Symbol" w:eastAsia="Times New Roman" w:hAnsi="Symbol" w:cs="Arial"/>
          <w:color w:val="222222"/>
          <w:sz w:val="20"/>
          <w:szCs w:val="20"/>
        </w:rPr>
        <w:t></w:t>
      </w:r>
      <w:r w:rsidRPr="00E77466">
        <w:rPr>
          <w:rFonts w:ascii="Times New Roman" w:eastAsia="Times New Roman" w:hAnsi="Times New Roman" w:cs="Times New Roman"/>
          <w:color w:val="222222"/>
          <w:sz w:val="14"/>
          <w:szCs w:val="14"/>
        </w:rPr>
        <w:t>        </w:t>
      </w:r>
      <w:r w:rsidRPr="00E77466">
        <w:rPr>
          <w:rFonts w:ascii="Times New Roman" w:eastAsia="Times New Roman" w:hAnsi="Times New Roman" w:cs="Times New Roman"/>
          <w:color w:val="222222"/>
          <w:sz w:val="14"/>
        </w:rPr>
        <w:t> </w:t>
      </w:r>
      <w:r w:rsidRPr="00E77466">
        <w:rPr>
          <w:rFonts w:ascii="Tahoma" w:eastAsia="Times New Roman" w:hAnsi="Tahoma" w:cs="Tahoma"/>
          <w:color w:val="222222"/>
          <w:sz w:val="20"/>
          <w:szCs w:val="20"/>
        </w:rPr>
        <w:t>Interest rates are expected to keep their upward correction in the face of an anticipated rate adjustments in the US. As such, homeowners with variable interest payments will be adversely affected. Depending on the magnitude of interest rate increase, this development might trigger defaults on the part of some homeowners.  </w:t>
      </w:r>
    </w:p>
    <w:p w:rsidR="00E77466" w:rsidRPr="00E77466" w:rsidRDefault="00E77466" w:rsidP="00E77466">
      <w:pPr>
        <w:shd w:val="clear" w:color="auto" w:fill="FFFFFF"/>
        <w:spacing w:before="100" w:beforeAutospacing="1" w:after="100" w:afterAutospacing="1" w:line="240" w:lineRule="auto"/>
        <w:ind w:left="765"/>
        <w:jc w:val="both"/>
        <w:rPr>
          <w:rFonts w:ascii="Arial" w:eastAsia="Times New Roman" w:hAnsi="Arial" w:cs="Arial"/>
          <w:color w:val="222222"/>
          <w:sz w:val="24"/>
          <w:szCs w:val="24"/>
        </w:rPr>
      </w:pPr>
      <w:r w:rsidRPr="00E77466">
        <w:rPr>
          <w:rFonts w:ascii="Symbol" w:eastAsia="Times New Roman" w:hAnsi="Symbol" w:cs="Arial"/>
          <w:color w:val="222222"/>
          <w:sz w:val="20"/>
          <w:szCs w:val="20"/>
        </w:rPr>
        <w:t></w:t>
      </w:r>
      <w:r w:rsidRPr="00E77466">
        <w:rPr>
          <w:rFonts w:ascii="Times New Roman" w:eastAsia="Times New Roman" w:hAnsi="Times New Roman" w:cs="Times New Roman"/>
          <w:color w:val="222222"/>
          <w:sz w:val="14"/>
          <w:szCs w:val="14"/>
        </w:rPr>
        <w:t>        </w:t>
      </w:r>
      <w:r w:rsidRPr="00E77466">
        <w:rPr>
          <w:rFonts w:ascii="Times New Roman" w:eastAsia="Times New Roman" w:hAnsi="Times New Roman" w:cs="Times New Roman"/>
          <w:color w:val="222222"/>
          <w:sz w:val="14"/>
        </w:rPr>
        <w:t> </w:t>
      </w:r>
      <w:r w:rsidRPr="00E77466">
        <w:rPr>
          <w:rFonts w:ascii="Tahoma" w:eastAsia="Times New Roman" w:hAnsi="Tahoma" w:cs="Tahoma"/>
          <w:color w:val="222222"/>
          <w:sz w:val="20"/>
          <w:szCs w:val="20"/>
        </w:rPr>
        <w:t xml:space="preserve">The exposure of banks to the real estate sector has to be checked and kept within prudential limits. Intervention has to be pro-active such that deleveraging is avoided; otherwise, a fire-sell </w:t>
      </w:r>
      <w:proofErr w:type="spellStart"/>
      <w:r w:rsidRPr="00E77466">
        <w:rPr>
          <w:rFonts w:ascii="Tahoma" w:eastAsia="Times New Roman" w:hAnsi="Tahoma" w:cs="Tahoma"/>
          <w:color w:val="222222"/>
          <w:sz w:val="20"/>
          <w:szCs w:val="20"/>
        </w:rPr>
        <w:t>of</w:t>
      </w:r>
      <w:proofErr w:type="spellEnd"/>
      <w:r w:rsidRPr="00E77466">
        <w:rPr>
          <w:rFonts w:ascii="Tahoma" w:eastAsia="Times New Roman" w:hAnsi="Tahoma" w:cs="Tahoma"/>
          <w:color w:val="222222"/>
          <w:sz w:val="20"/>
          <w:szCs w:val="20"/>
        </w:rPr>
        <w:t xml:space="preserve"> assets might ensue. The BSP should continue giving credit advisories to banks for macro-prudential supervision and regulation.</w:t>
      </w:r>
    </w:p>
    <w:p w:rsidR="00E77466" w:rsidRPr="00E77466" w:rsidRDefault="00E77466" w:rsidP="00E77466">
      <w:pPr>
        <w:shd w:val="clear" w:color="auto" w:fill="FFFFFF"/>
        <w:spacing w:before="100" w:beforeAutospacing="1" w:after="100" w:afterAutospacing="1" w:line="240" w:lineRule="auto"/>
        <w:ind w:left="765"/>
        <w:jc w:val="both"/>
        <w:rPr>
          <w:rFonts w:ascii="Arial" w:eastAsia="Times New Roman" w:hAnsi="Arial" w:cs="Arial"/>
          <w:color w:val="222222"/>
          <w:sz w:val="24"/>
          <w:szCs w:val="24"/>
        </w:rPr>
      </w:pPr>
      <w:r w:rsidRPr="00E77466">
        <w:rPr>
          <w:rFonts w:ascii="Symbol" w:eastAsia="Times New Roman" w:hAnsi="Symbol" w:cs="Arial"/>
          <w:color w:val="222222"/>
          <w:sz w:val="20"/>
          <w:szCs w:val="20"/>
        </w:rPr>
        <w:t></w:t>
      </w:r>
      <w:r w:rsidRPr="00E77466">
        <w:rPr>
          <w:rFonts w:ascii="Times New Roman" w:eastAsia="Times New Roman" w:hAnsi="Times New Roman" w:cs="Times New Roman"/>
          <w:color w:val="222222"/>
          <w:sz w:val="14"/>
          <w:szCs w:val="14"/>
        </w:rPr>
        <w:t>        </w:t>
      </w:r>
      <w:r w:rsidRPr="00E77466">
        <w:rPr>
          <w:rFonts w:ascii="Times New Roman" w:eastAsia="Times New Roman" w:hAnsi="Times New Roman" w:cs="Times New Roman"/>
          <w:color w:val="222222"/>
          <w:sz w:val="14"/>
        </w:rPr>
        <w:t> </w:t>
      </w:r>
      <w:r w:rsidRPr="00E77466">
        <w:rPr>
          <w:rFonts w:ascii="Tahoma" w:eastAsia="Times New Roman" w:hAnsi="Tahoma" w:cs="Tahoma"/>
          <w:color w:val="222222"/>
          <w:sz w:val="20"/>
          <w:szCs w:val="20"/>
        </w:rPr>
        <w:t>A significant rise in interest rates may translate to lesser demand for luxury housing units and to some extent, mid-level category housing units. A slowdown in the growth of the real estate sector may be expected. </w:t>
      </w:r>
    </w:p>
    <w:p w:rsidR="002438A1" w:rsidRDefault="002438A1"/>
    <w:sectPr w:rsidR="00243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useFELayout/>
  </w:compat>
  <w:rsids>
    <w:rsidRoot w:val="00E77466"/>
    <w:rsid w:val="002438A1"/>
    <w:rsid w:val="00E77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7466"/>
  </w:style>
  <w:style w:type="character" w:customStyle="1" w:styleId="il">
    <w:name w:val="il"/>
    <w:basedOn w:val="DefaultParagraphFont"/>
    <w:rsid w:val="00E77466"/>
  </w:style>
  <w:style w:type="paragraph" w:styleId="NormalWeb">
    <w:name w:val="Normal (Web)"/>
    <w:basedOn w:val="Normal"/>
    <w:uiPriority w:val="99"/>
    <w:semiHidden/>
    <w:unhideWhenUsed/>
    <w:rsid w:val="00E77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43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Company>Hewlett-Packard Company</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cp:revision>
  <dcterms:created xsi:type="dcterms:W3CDTF">2015-07-08T03:18:00Z</dcterms:created>
  <dcterms:modified xsi:type="dcterms:W3CDTF">2015-07-08T03:18:00Z</dcterms:modified>
</cp:coreProperties>
</file>