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b/>
          <w:bCs/>
          <w:color w:val="222222"/>
          <w:sz w:val="24"/>
          <w:szCs w:val="24"/>
        </w:rPr>
        <w:t>DOF Economic Bulletin on Revenue Performance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2 June 2015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E1BBA" w:rsidRPr="009911DF" w:rsidRDefault="005E1BBA" w:rsidP="005E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Revenues grew by 18.1% in the first quarter of 2015, outstripping the 5.5% growth in nominal GDP. Both tax and non-tax revenues grew at double-digit rates.</w:t>
      </w:r>
    </w:p>
    <w:p w:rsidR="005E1BBA" w:rsidRPr="009911DF" w:rsidRDefault="005E1BBA" w:rsidP="005E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 xml:space="preserve">Tax revenues rose </w:t>
      </w:r>
      <w:proofErr w:type="gramStart"/>
      <w:r w:rsidRPr="009911DF">
        <w:rPr>
          <w:rFonts w:ascii="Arial" w:eastAsia="Times New Roman" w:hAnsi="Arial" w:cs="Arial"/>
          <w:color w:val="222222"/>
          <w:sz w:val="24"/>
          <w:szCs w:val="24"/>
        </w:rPr>
        <w:t>by  13.4</w:t>
      </w:r>
      <w:proofErr w:type="gramEnd"/>
      <w:r w:rsidRPr="009911DF">
        <w:rPr>
          <w:rFonts w:ascii="Arial" w:eastAsia="Times New Roman" w:hAnsi="Arial" w:cs="Arial"/>
          <w:color w:val="222222"/>
          <w:sz w:val="24"/>
          <w:szCs w:val="24"/>
        </w:rPr>
        <w:t xml:space="preserve">% with BIR collections rising by 16.0% and BOC collections expanding by 6.7%, likewise exceeding the nominal GDP growth.  </w:t>
      </w:r>
      <w:proofErr w:type="gramStart"/>
      <w:r w:rsidRPr="009911DF">
        <w:rPr>
          <w:rFonts w:ascii="Arial" w:eastAsia="Times New Roman" w:hAnsi="Arial" w:cs="Arial"/>
          <w:color w:val="222222"/>
          <w:sz w:val="24"/>
          <w:szCs w:val="24"/>
        </w:rPr>
        <w:t>Meanwhile, collections of other offices declined by 12% due to lower motor vehicle tax and immigration tax.</w:t>
      </w:r>
      <w:proofErr w:type="gramEnd"/>
    </w:p>
    <w:p w:rsidR="005E1BBA" w:rsidRPr="009911DF" w:rsidRDefault="005E1BBA" w:rsidP="005E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 xml:space="preserve">Non-tax revenues grew by 56.6 percent as </w:t>
      </w:r>
      <w:proofErr w:type="spellStart"/>
      <w:r w:rsidRPr="009911DF">
        <w:rPr>
          <w:rFonts w:ascii="Arial" w:eastAsia="Times New Roman" w:hAnsi="Arial" w:cs="Arial"/>
          <w:color w:val="222222"/>
          <w:sz w:val="24"/>
          <w:szCs w:val="24"/>
        </w:rPr>
        <w:t>BTr</w:t>
      </w:r>
      <w:proofErr w:type="spellEnd"/>
      <w:r w:rsidRPr="009911DF">
        <w:rPr>
          <w:rFonts w:ascii="Arial" w:eastAsia="Times New Roman" w:hAnsi="Arial" w:cs="Arial"/>
          <w:color w:val="222222"/>
          <w:sz w:val="24"/>
          <w:szCs w:val="24"/>
        </w:rPr>
        <w:t xml:space="preserve"> income rose by 80.7%, from P21.0 billion to P37.9 billion and others by 41.14% (from P20.8 billion to P29.4 billion).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700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0"/>
        <w:gridCol w:w="1244"/>
        <w:gridCol w:w="1244"/>
        <w:gridCol w:w="990"/>
      </w:tblGrid>
      <w:tr w:rsidR="005E1BBA" w:rsidRPr="009911DF" w:rsidTr="005E1BBA">
        <w:trPr>
          <w:trHeight w:val="2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1. REVENUES , January-March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1BBA" w:rsidRPr="009911DF" w:rsidTr="005E1BBA">
        <w:trPr>
          <w:trHeight w:val="40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 Growth</w:t>
            </w:r>
          </w:p>
        </w:tc>
      </w:tr>
      <w:tr w:rsidR="005E1BBA" w:rsidRPr="009911DF" w:rsidTr="005E1BBA">
        <w:trPr>
          <w:trHeight w:val="40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 P billion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1BBA" w:rsidRPr="009911DF" w:rsidTr="005E1BBA">
        <w:trPr>
          <w:trHeight w:val="42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REVENUES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398.4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470.5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18.1%</w:t>
            </w:r>
          </w:p>
        </w:tc>
      </w:tr>
      <w:tr w:rsidR="005E1BBA" w:rsidRPr="009911DF" w:rsidTr="005E1BBA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TAX REVENUES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355.2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 402.9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13.4%</w:t>
            </w:r>
          </w:p>
        </w:tc>
      </w:tr>
      <w:tr w:rsidR="005E1BBA" w:rsidRPr="009911DF" w:rsidTr="005E1BBA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 BIR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16.0%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 BOC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6.7%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 OTHER OFFICES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 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-12.0%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NON-TAX REVENUES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43.2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67.6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56.6%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 482.5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 504.0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4.5%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1BBA" w:rsidRPr="009911DF" w:rsidTr="005E1BBA">
        <w:trPr>
          <w:trHeight w:val="33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 BALANCE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 (84.1)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    (33.5)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-60.2%</w:t>
            </w:r>
          </w:p>
        </w:tc>
      </w:tr>
    </w:tbl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Expenditures grew by only 4.5% thus, the deficit dropped by 60.2% relative to the same period last year.</w:t>
      </w:r>
    </w:p>
    <w:p w:rsidR="005E1BBA" w:rsidRPr="009911DF" w:rsidRDefault="005E1BBA" w:rsidP="005E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exceptional increase in revenue collections led to the revenue effort rising from 13.84% last year to 15.49%, a 1.66 percentage point rise, the highest first quarter revenue effort increment ever achieved*.</w:t>
      </w:r>
    </w:p>
    <w:p w:rsidR="005E1BBA" w:rsidRPr="009911DF" w:rsidRDefault="005E1BBA" w:rsidP="005E1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tax effort also rose by 0.93 percentage point to 13.27% due to tax administration improvements. This is also the highest first quarter increment except in 2006 when the VAT reform was passed.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721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0"/>
        <w:gridCol w:w="1710"/>
        <w:gridCol w:w="1440"/>
      </w:tblGrid>
      <w:tr w:rsidR="005E1BBA" w:rsidRPr="009911DF" w:rsidTr="005E1BBA">
        <w:trPr>
          <w:trHeight w:val="25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2. TAX EFFORT, January-March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5E1BBA" w:rsidRPr="009911DF" w:rsidTr="005E1BBA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REVENUE EFFORT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13.84%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15.49%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TAX EFFORT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13.27%</w:t>
            </w:r>
          </w:p>
        </w:tc>
      </w:tr>
      <w:tr w:rsidR="005E1BBA" w:rsidRPr="009911DF" w:rsidTr="005E1BBA">
        <w:trPr>
          <w:trHeight w:val="25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BIR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9.19%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10.11%</w:t>
            </w:r>
          </w:p>
        </w:tc>
      </w:tr>
      <w:tr w:rsidR="005E1BBA" w:rsidRPr="009911DF" w:rsidTr="005E1BBA">
        <w:trPr>
          <w:trHeight w:val="4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42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42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1BBA" w:rsidRPr="009911DF" w:rsidTr="005E1BBA">
        <w:trPr>
          <w:trHeight w:val="31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BOC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3.04%</w:t>
            </w:r>
          </w:p>
        </w:tc>
      </w:tr>
      <w:tr w:rsidR="005E1BBA" w:rsidRPr="009911DF" w:rsidTr="005E1BBA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 OTHERS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0.12%</w:t>
            </w:r>
          </w:p>
        </w:tc>
      </w:tr>
      <w:tr w:rsidR="005E1BBA" w:rsidRPr="009911DF" w:rsidTr="005E1BBA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NON-TAX REVENUE EFFORT</w:t>
            </w:r>
          </w:p>
        </w:tc>
        <w:tc>
          <w:tcPr>
            <w:tcW w:w="171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2.23%</w:t>
            </w:r>
          </w:p>
        </w:tc>
      </w:tr>
      <w:tr w:rsidR="005E1BBA" w:rsidRPr="009911DF" w:rsidTr="005E1BBA">
        <w:trPr>
          <w:trHeight w:val="4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E1BBA" w:rsidRPr="009911DF" w:rsidTr="005E1BBA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EXPENDITURE EFFORT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16.76%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16.60%</w:t>
            </w:r>
          </w:p>
        </w:tc>
      </w:tr>
      <w:tr w:rsidR="005E1BBA" w:rsidRPr="009911DF" w:rsidTr="005E1BBA">
        <w:trPr>
          <w:trHeight w:val="3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 BALANCE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-2.92%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-1.10%</w:t>
            </w:r>
          </w:p>
        </w:tc>
      </w:tr>
      <w:tr w:rsidR="005E1BBA" w:rsidRPr="009911DF" w:rsidTr="005E1BBA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DEBT-GDP RATIO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45.4%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1BBA" w:rsidRPr="009911DF" w:rsidRDefault="005E1BBA" w:rsidP="005E1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911D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45.2%*</w:t>
            </w:r>
          </w:p>
        </w:tc>
      </w:tr>
    </w:tbl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* April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 xml:space="preserve">A combination of the lower deficit, stable interest rates and strong peso led to the continuing drop in </w:t>
      </w:r>
      <w:proofErr w:type="gramStart"/>
      <w:r w:rsidRPr="009911DF">
        <w:rPr>
          <w:rFonts w:ascii="Arial" w:eastAsia="Times New Roman" w:hAnsi="Arial" w:cs="Arial"/>
          <w:color w:val="222222"/>
          <w:sz w:val="24"/>
          <w:szCs w:val="24"/>
        </w:rPr>
        <w:t>the  debt</w:t>
      </w:r>
      <w:proofErr w:type="gramEnd"/>
      <w:r w:rsidRPr="009911DF">
        <w:rPr>
          <w:rFonts w:ascii="Arial" w:eastAsia="Times New Roman" w:hAnsi="Arial" w:cs="Arial"/>
          <w:color w:val="222222"/>
          <w:sz w:val="24"/>
          <w:szCs w:val="24"/>
        </w:rPr>
        <w:t>-GDP ratio to 45.2% in April, from the year-end 2014 ratio of 45.4%.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The strong fiscal position shall buttress economic growth in succeeding quarters.</w:t>
      </w:r>
    </w:p>
    <w:p w:rsidR="005E1BBA" w:rsidRPr="009911DF" w:rsidRDefault="005E1BBA" w:rsidP="005E1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11DF">
        <w:rPr>
          <w:rFonts w:ascii="Arial" w:eastAsia="Times New Roman" w:hAnsi="Arial" w:cs="Arial"/>
          <w:color w:val="222222"/>
          <w:sz w:val="24"/>
          <w:szCs w:val="24"/>
        </w:rPr>
        <w:t>* Quarterly fiscal data started to be compiled in 1989.</w:t>
      </w:r>
    </w:p>
    <w:p w:rsidR="006A20F4" w:rsidRPr="009911DF" w:rsidRDefault="006A20F4">
      <w:pPr>
        <w:rPr>
          <w:rFonts w:ascii="Arial" w:hAnsi="Arial" w:cs="Arial"/>
          <w:sz w:val="24"/>
          <w:szCs w:val="24"/>
        </w:rPr>
      </w:pPr>
    </w:p>
    <w:sectPr w:rsidR="006A20F4" w:rsidRPr="009911DF" w:rsidSect="00C0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E1BBA"/>
    <w:rsid w:val="005E1BBA"/>
    <w:rsid w:val="006A20F4"/>
    <w:rsid w:val="009911DF"/>
    <w:rsid w:val="00C0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BBA"/>
  </w:style>
  <w:style w:type="character" w:customStyle="1" w:styleId="il">
    <w:name w:val="il"/>
    <w:basedOn w:val="DefaultParagraphFont"/>
    <w:rsid w:val="005E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Ena Escanan</cp:lastModifiedBy>
  <cp:revision>3</cp:revision>
  <dcterms:created xsi:type="dcterms:W3CDTF">2015-07-08T03:10:00Z</dcterms:created>
  <dcterms:modified xsi:type="dcterms:W3CDTF">2015-07-23T04:18:00Z</dcterms:modified>
</cp:coreProperties>
</file>