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97" w:rsidRDefault="003E2C97" w:rsidP="00A91B67">
      <w:pPr>
        <w:pStyle w:val="NoSpacing"/>
      </w:pPr>
    </w:p>
    <w:p w:rsidR="00DC4164" w:rsidRDefault="008B0A23" w:rsidP="005F219A">
      <w:pPr>
        <w:pStyle w:val="NoSpacing"/>
        <w:jc w:val="center"/>
        <w:rPr>
          <w:rFonts w:ascii="Arial" w:hAnsi="Arial" w:cs="Arial"/>
          <w:b/>
          <w:sz w:val="24"/>
          <w:szCs w:val="24"/>
        </w:rPr>
      </w:pPr>
      <w:r>
        <w:rPr>
          <w:rFonts w:ascii="Arial" w:hAnsi="Arial" w:cs="Arial"/>
          <w:b/>
          <w:sz w:val="24"/>
          <w:szCs w:val="24"/>
        </w:rPr>
        <w:t xml:space="preserve">Guidelines on the Identification and </w:t>
      </w:r>
      <w:r w:rsidR="005F219A" w:rsidRPr="00EC04C6">
        <w:rPr>
          <w:rFonts w:ascii="Arial" w:hAnsi="Arial" w:cs="Arial"/>
          <w:b/>
          <w:sz w:val="24"/>
          <w:szCs w:val="24"/>
        </w:rPr>
        <w:t xml:space="preserve">Determination of the </w:t>
      </w:r>
    </w:p>
    <w:p w:rsidR="005F219A" w:rsidRPr="00EC04C6" w:rsidRDefault="005F219A" w:rsidP="005F219A">
      <w:pPr>
        <w:pStyle w:val="NoSpacing"/>
        <w:jc w:val="center"/>
        <w:rPr>
          <w:rFonts w:ascii="Arial" w:hAnsi="Arial" w:cs="Arial"/>
          <w:b/>
          <w:sz w:val="24"/>
          <w:szCs w:val="24"/>
        </w:rPr>
      </w:pPr>
      <w:r w:rsidRPr="00EC04C6">
        <w:rPr>
          <w:rFonts w:ascii="Arial" w:hAnsi="Arial" w:cs="Arial"/>
          <w:b/>
          <w:sz w:val="24"/>
          <w:szCs w:val="24"/>
        </w:rPr>
        <w:t xml:space="preserve">Eligibility and Ranking of </w:t>
      </w:r>
      <w:r w:rsidR="008B0A23">
        <w:rPr>
          <w:rFonts w:ascii="Arial" w:hAnsi="Arial" w:cs="Arial"/>
          <w:b/>
          <w:sz w:val="24"/>
          <w:szCs w:val="24"/>
        </w:rPr>
        <w:t>Delivery Units</w:t>
      </w:r>
    </w:p>
    <w:p w:rsidR="00DC4164" w:rsidRDefault="008B0A23" w:rsidP="005F219A">
      <w:pPr>
        <w:pStyle w:val="NoSpacing"/>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under</w:t>
      </w:r>
      <w:proofErr w:type="gramEnd"/>
      <w:r>
        <w:rPr>
          <w:rFonts w:ascii="Arial" w:hAnsi="Arial" w:cs="Arial"/>
          <w:b/>
          <w:sz w:val="24"/>
          <w:szCs w:val="24"/>
        </w:rPr>
        <w:t xml:space="preserve"> DOF Proper Relative to the Grant of the </w:t>
      </w:r>
    </w:p>
    <w:p w:rsidR="005F219A" w:rsidRPr="00EC04C6" w:rsidRDefault="005F219A" w:rsidP="005F219A">
      <w:pPr>
        <w:pStyle w:val="NoSpacing"/>
        <w:jc w:val="center"/>
        <w:rPr>
          <w:rFonts w:ascii="Arial" w:hAnsi="Arial" w:cs="Arial"/>
          <w:b/>
          <w:sz w:val="24"/>
          <w:szCs w:val="24"/>
        </w:rPr>
      </w:pPr>
      <w:r w:rsidRPr="00EC04C6">
        <w:rPr>
          <w:rFonts w:ascii="Arial" w:hAnsi="Arial" w:cs="Arial"/>
          <w:b/>
          <w:sz w:val="24"/>
          <w:szCs w:val="24"/>
        </w:rPr>
        <w:t>Performance-Based Bonus (PBB)</w:t>
      </w:r>
      <w:r w:rsidR="008B0A23">
        <w:rPr>
          <w:rFonts w:ascii="Arial" w:hAnsi="Arial" w:cs="Arial"/>
          <w:b/>
          <w:sz w:val="24"/>
          <w:szCs w:val="24"/>
        </w:rPr>
        <w:t xml:space="preserve"> for Fiscal Year (F</w:t>
      </w:r>
      <w:r>
        <w:rPr>
          <w:rFonts w:ascii="Arial" w:hAnsi="Arial" w:cs="Arial"/>
          <w:b/>
          <w:sz w:val="24"/>
          <w:szCs w:val="24"/>
        </w:rPr>
        <w:t>Y</w:t>
      </w:r>
      <w:r w:rsidR="008B0A23">
        <w:rPr>
          <w:rFonts w:ascii="Arial" w:hAnsi="Arial" w:cs="Arial"/>
          <w:b/>
          <w:sz w:val="24"/>
          <w:szCs w:val="24"/>
        </w:rPr>
        <w:t>)</w:t>
      </w:r>
      <w:r>
        <w:rPr>
          <w:rFonts w:ascii="Arial" w:hAnsi="Arial" w:cs="Arial"/>
          <w:b/>
          <w:sz w:val="24"/>
          <w:szCs w:val="24"/>
        </w:rPr>
        <w:t xml:space="preserve"> 2016</w:t>
      </w:r>
    </w:p>
    <w:p w:rsidR="005F219A" w:rsidRPr="00EC04C6" w:rsidRDefault="005F219A" w:rsidP="005F219A">
      <w:pPr>
        <w:pStyle w:val="NoSpacing"/>
        <w:rPr>
          <w:rFonts w:ascii="Arial" w:hAnsi="Arial" w:cs="Arial"/>
        </w:rPr>
      </w:pPr>
    </w:p>
    <w:p w:rsidR="005F219A" w:rsidRPr="00EC04C6" w:rsidRDefault="00D51954" w:rsidP="005F219A">
      <w:pPr>
        <w:pStyle w:val="NoSpacing"/>
        <w:rPr>
          <w:rFonts w:ascii="Arial" w:hAnsi="Arial" w:cs="Arial"/>
          <w:sz w:val="24"/>
          <w:szCs w:val="24"/>
        </w:rPr>
      </w:pPr>
      <w:r>
        <w:rPr>
          <w:rFonts w:ascii="Arial" w:hAnsi="Arial" w:cs="Arial"/>
          <w:sz w:val="24"/>
          <w:szCs w:val="24"/>
        </w:rPr>
        <w:t>I.</w:t>
      </w:r>
      <w:r>
        <w:rPr>
          <w:rFonts w:ascii="Arial" w:hAnsi="Arial" w:cs="Arial"/>
          <w:sz w:val="24"/>
          <w:szCs w:val="24"/>
        </w:rPr>
        <w:tab/>
        <w:t>Legal Base</w:t>
      </w:r>
      <w:r w:rsidR="005F219A" w:rsidRPr="00EC04C6">
        <w:rPr>
          <w:rFonts w:ascii="Arial" w:hAnsi="Arial" w:cs="Arial"/>
          <w:sz w:val="24"/>
          <w:szCs w:val="24"/>
        </w:rPr>
        <w:t>s:</w:t>
      </w:r>
    </w:p>
    <w:p w:rsidR="005F219A" w:rsidRDefault="005F219A" w:rsidP="005F219A">
      <w:pPr>
        <w:pStyle w:val="NoSpacing"/>
        <w:rPr>
          <w:rFonts w:ascii="Arial" w:hAnsi="Arial" w:cs="Arial"/>
          <w:sz w:val="24"/>
          <w:szCs w:val="24"/>
        </w:rPr>
      </w:pPr>
    </w:p>
    <w:p w:rsidR="00D51954" w:rsidRPr="00EC04C6" w:rsidRDefault="00D51954" w:rsidP="00D51954">
      <w:pPr>
        <w:pStyle w:val="NoSpacing"/>
        <w:rPr>
          <w:rFonts w:ascii="Arial" w:hAnsi="Arial" w:cs="Arial"/>
          <w:sz w:val="24"/>
          <w:szCs w:val="24"/>
        </w:rPr>
      </w:pPr>
      <w:r>
        <w:rPr>
          <w:rFonts w:ascii="Arial" w:hAnsi="Arial" w:cs="Arial"/>
          <w:sz w:val="24"/>
          <w:szCs w:val="24"/>
        </w:rPr>
        <w:tab/>
        <w:t xml:space="preserve">1.  </w:t>
      </w:r>
      <w:r w:rsidRPr="00EC04C6">
        <w:rPr>
          <w:rFonts w:ascii="Arial" w:hAnsi="Arial" w:cs="Arial"/>
          <w:sz w:val="24"/>
          <w:szCs w:val="24"/>
        </w:rPr>
        <w:t xml:space="preserve">Executive Order No. 80 dated July 20, 2012, Inter-Agency Task </w:t>
      </w:r>
      <w:r>
        <w:rPr>
          <w:rFonts w:ascii="Arial" w:hAnsi="Arial" w:cs="Arial"/>
          <w:sz w:val="24"/>
          <w:szCs w:val="24"/>
        </w:rPr>
        <w:tab/>
      </w:r>
      <w:r>
        <w:rPr>
          <w:rFonts w:ascii="Arial" w:hAnsi="Arial" w:cs="Arial"/>
          <w:sz w:val="24"/>
          <w:szCs w:val="24"/>
        </w:rPr>
        <w:tab/>
      </w:r>
      <w:r>
        <w:rPr>
          <w:rFonts w:ascii="Arial" w:hAnsi="Arial" w:cs="Arial"/>
          <w:sz w:val="24"/>
          <w:szCs w:val="24"/>
        </w:rPr>
        <w:tab/>
      </w:r>
      <w:r w:rsidRPr="00EC04C6">
        <w:rPr>
          <w:rFonts w:ascii="Arial" w:hAnsi="Arial" w:cs="Arial"/>
          <w:sz w:val="24"/>
          <w:szCs w:val="24"/>
        </w:rPr>
        <w:t>Force on</w:t>
      </w:r>
      <w:r>
        <w:rPr>
          <w:rFonts w:ascii="Arial" w:hAnsi="Arial" w:cs="Arial"/>
          <w:sz w:val="24"/>
          <w:szCs w:val="24"/>
        </w:rPr>
        <w:t xml:space="preserve"> </w:t>
      </w:r>
      <w:r w:rsidRPr="00EC04C6">
        <w:rPr>
          <w:rFonts w:ascii="Arial" w:hAnsi="Arial" w:cs="Arial"/>
          <w:sz w:val="24"/>
          <w:szCs w:val="24"/>
        </w:rPr>
        <w:t xml:space="preserve">the Harmonization of National Government Performance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C04C6">
        <w:rPr>
          <w:rFonts w:ascii="Arial" w:hAnsi="Arial" w:cs="Arial"/>
          <w:sz w:val="24"/>
          <w:szCs w:val="24"/>
        </w:rPr>
        <w:t>Monitoring, Information and Reporting Systems</w:t>
      </w:r>
    </w:p>
    <w:p w:rsidR="00D51954" w:rsidRPr="00EC04C6" w:rsidRDefault="00D51954" w:rsidP="00D51954">
      <w:pPr>
        <w:pStyle w:val="NoSpacing"/>
        <w:rPr>
          <w:rFonts w:ascii="Arial" w:hAnsi="Arial" w:cs="Arial"/>
          <w:sz w:val="24"/>
          <w:szCs w:val="24"/>
        </w:rPr>
      </w:pPr>
    </w:p>
    <w:p w:rsidR="00D51954" w:rsidRPr="00EC04C6" w:rsidRDefault="00D51954" w:rsidP="005F219A">
      <w:pPr>
        <w:pStyle w:val="NoSpacing"/>
        <w:rPr>
          <w:rFonts w:ascii="Arial" w:hAnsi="Arial" w:cs="Arial"/>
          <w:sz w:val="24"/>
          <w:szCs w:val="24"/>
        </w:rPr>
      </w:pPr>
    </w:p>
    <w:p w:rsidR="005F219A" w:rsidRDefault="005F219A" w:rsidP="005F219A">
      <w:pPr>
        <w:pStyle w:val="NoSpacing"/>
        <w:rPr>
          <w:rFonts w:ascii="Arial" w:hAnsi="Arial" w:cs="Arial"/>
          <w:sz w:val="24"/>
          <w:szCs w:val="24"/>
        </w:rPr>
      </w:pPr>
      <w:r>
        <w:rPr>
          <w:rFonts w:ascii="Arial" w:hAnsi="Arial" w:cs="Arial"/>
          <w:sz w:val="24"/>
          <w:szCs w:val="24"/>
        </w:rPr>
        <w:tab/>
      </w:r>
      <w:r w:rsidR="00D51954">
        <w:rPr>
          <w:rFonts w:ascii="Arial" w:hAnsi="Arial" w:cs="Arial"/>
          <w:sz w:val="24"/>
          <w:szCs w:val="24"/>
        </w:rPr>
        <w:t xml:space="preserve">2.  </w:t>
      </w:r>
      <w:r>
        <w:rPr>
          <w:rFonts w:ascii="Arial" w:hAnsi="Arial" w:cs="Arial"/>
          <w:sz w:val="24"/>
          <w:szCs w:val="24"/>
        </w:rPr>
        <w:t xml:space="preserve">AO 25 </w:t>
      </w:r>
      <w:r w:rsidR="000E0704">
        <w:rPr>
          <w:rFonts w:ascii="Arial" w:hAnsi="Arial" w:cs="Arial"/>
          <w:sz w:val="24"/>
          <w:szCs w:val="24"/>
        </w:rPr>
        <w:t xml:space="preserve">IATF </w:t>
      </w:r>
      <w:r>
        <w:rPr>
          <w:rFonts w:ascii="Arial" w:hAnsi="Arial" w:cs="Arial"/>
          <w:sz w:val="24"/>
          <w:szCs w:val="24"/>
        </w:rPr>
        <w:t>Memorandum Circular No. 2016-1 dated May 12, 2016</w:t>
      </w:r>
    </w:p>
    <w:p w:rsidR="000E0704" w:rsidRDefault="000E0704" w:rsidP="005F219A">
      <w:pPr>
        <w:pStyle w:val="NoSpacing"/>
        <w:rPr>
          <w:rFonts w:ascii="Arial" w:hAnsi="Arial" w:cs="Arial"/>
          <w:sz w:val="24"/>
          <w:szCs w:val="24"/>
        </w:rPr>
      </w:pPr>
    </w:p>
    <w:p w:rsidR="000E0704" w:rsidRPr="00EC04C6" w:rsidRDefault="000E0704" w:rsidP="005F219A">
      <w:pPr>
        <w:pStyle w:val="NoSpacing"/>
        <w:rPr>
          <w:rFonts w:ascii="Arial" w:hAnsi="Arial" w:cs="Arial"/>
          <w:sz w:val="24"/>
          <w:szCs w:val="24"/>
        </w:rPr>
      </w:pPr>
      <w:r>
        <w:rPr>
          <w:rFonts w:ascii="Arial" w:hAnsi="Arial" w:cs="Arial"/>
          <w:sz w:val="24"/>
          <w:szCs w:val="24"/>
        </w:rPr>
        <w:tab/>
        <w:t>3.  AO 25 IATF Memorandum Circular No. 2016-2 dated October 12, 2016</w:t>
      </w:r>
    </w:p>
    <w:p w:rsidR="005F219A" w:rsidRPr="00EC04C6" w:rsidRDefault="005F219A" w:rsidP="005F219A">
      <w:pPr>
        <w:pStyle w:val="NoSpacing"/>
        <w:rPr>
          <w:rFonts w:ascii="Arial" w:hAnsi="Arial" w:cs="Arial"/>
          <w:sz w:val="24"/>
          <w:szCs w:val="24"/>
        </w:rPr>
      </w:pPr>
      <w:r w:rsidRPr="00EC04C6">
        <w:rPr>
          <w:rFonts w:ascii="Arial" w:hAnsi="Arial" w:cs="Arial"/>
          <w:sz w:val="24"/>
          <w:szCs w:val="24"/>
        </w:rPr>
        <w:tab/>
      </w:r>
    </w:p>
    <w:p w:rsidR="005F219A" w:rsidRPr="00EC04C6" w:rsidRDefault="005F219A" w:rsidP="005F219A">
      <w:pPr>
        <w:pStyle w:val="NoSpacing"/>
        <w:rPr>
          <w:rFonts w:ascii="Arial" w:hAnsi="Arial" w:cs="Arial"/>
          <w:sz w:val="24"/>
          <w:szCs w:val="24"/>
        </w:rPr>
      </w:pPr>
    </w:p>
    <w:p w:rsidR="005F219A" w:rsidRDefault="005F219A" w:rsidP="005F219A">
      <w:pPr>
        <w:pStyle w:val="NoSpacing"/>
        <w:rPr>
          <w:rFonts w:ascii="Arial" w:hAnsi="Arial" w:cs="Arial"/>
          <w:sz w:val="24"/>
          <w:szCs w:val="24"/>
        </w:rPr>
      </w:pPr>
      <w:r w:rsidRPr="00EC04C6">
        <w:rPr>
          <w:rFonts w:ascii="Arial" w:hAnsi="Arial" w:cs="Arial"/>
          <w:sz w:val="24"/>
          <w:szCs w:val="24"/>
        </w:rPr>
        <w:t>II.</w:t>
      </w:r>
      <w:r w:rsidRPr="00EC04C6">
        <w:rPr>
          <w:rFonts w:ascii="Arial" w:hAnsi="Arial" w:cs="Arial"/>
          <w:sz w:val="24"/>
          <w:szCs w:val="24"/>
        </w:rPr>
        <w:tab/>
        <w:t>Implementing Guidelines</w:t>
      </w:r>
    </w:p>
    <w:p w:rsidR="004F186D" w:rsidRDefault="004F186D" w:rsidP="005F219A">
      <w:pPr>
        <w:pStyle w:val="NoSpacing"/>
        <w:rPr>
          <w:rFonts w:ascii="Arial" w:hAnsi="Arial" w:cs="Arial"/>
          <w:sz w:val="24"/>
          <w:szCs w:val="24"/>
        </w:rPr>
      </w:pPr>
    </w:p>
    <w:p w:rsidR="000E0704" w:rsidRDefault="000E0704" w:rsidP="005F219A">
      <w:pPr>
        <w:pStyle w:val="NoSpacing"/>
        <w:rPr>
          <w:rFonts w:ascii="Arial" w:hAnsi="Arial" w:cs="Arial"/>
          <w:sz w:val="24"/>
          <w:szCs w:val="24"/>
        </w:rPr>
      </w:pPr>
    </w:p>
    <w:p w:rsidR="000E0704" w:rsidRPr="004F186D" w:rsidRDefault="000E0704" w:rsidP="005F219A">
      <w:pPr>
        <w:pStyle w:val="NoSpacing"/>
        <w:rPr>
          <w:rFonts w:ascii="Arial" w:hAnsi="Arial" w:cs="Arial"/>
          <w:sz w:val="24"/>
          <w:szCs w:val="24"/>
          <w:u w:val="single"/>
        </w:rPr>
      </w:pPr>
      <w:r w:rsidRPr="004F186D">
        <w:rPr>
          <w:rFonts w:ascii="Arial" w:hAnsi="Arial" w:cs="Arial"/>
          <w:sz w:val="24"/>
          <w:szCs w:val="24"/>
        </w:rPr>
        <w:t xml:space="preserve">      1.</w:t>
      </w:r>
      <w:r w:rsidR="004F186D">
        <w:rPr>
          <w:rFonts w:ascii="Arial" w:hAnsi="Arial" w:cs="Arial"/>
          <w:sz w:val="24"/>
          <w:szCs w:val="24"/>
          <w:u w:val="single"/>
        </w:rPr>
        <w:t xml:space="preserve">  </w:t>
      </w:r>
      <w:r w:rsidRPr="004F186D">
        <w:rPr>
          <w:rFonts w:ascii="Arial" w:hAnsi="Arial" w:cs="Arial"/>
          <w:sz w:val="24"/>
          <w:szCs w:val="24"/>
          <w:u w:val="single"/>
        </w:rPr>
        <w:t>Eligibility of Bureaus, Offices or Delivery Units</w:t>
      </w:r>
      <w:r w:rsidR="004F186D">
        <w:rPr>
          <w:rFonts w:ascii="Arial" w:hAnsi="Arial" w:cs="Arial"/>
          <w:sz w:val="24"/>
          <w:szCs w:val="24"/>
          <w:u w:val="single"/>
        </w:rPr>
        <w:t>:</w:t>
      </w:r>
    </w:p>
    <w:p w:rsidR="000E0704" w:rsidRDefault="000E0704" w:rsidP="005F219A">
      <w:pPr>
        <w:pStyle w:val="NoSpacing"/>
        <w:rPr>
          <w:rFonts w:ascii="Arial" w:hAnsi="Arial" w:cs="Arial"/>
          <w:sz w:val="24"/>
          <w:szCs w:val="24"/>
        </w:rPr>
      </w:pPr>
    </w:p>
    <w:p w:rsidR="000E0704" w:rsidRDefault="000E0704" w:rsidP="005F219A">
      <w:pPr>
        <w:pStyle w:val="NoSpacing"/>
        <w:rPr>
          <w:rFonts w:ascii="Arial" w:hAnsi="Arial" w:cs="Arial"/>
          <w:sz w:val="24"/>
          <w:szCs w:val="24"/>
        </w:rPr>
      </w:pPr>
      <w:r>
        <w:rPr>
          <w:rFonts w:ascii="Arial" w:hAnsi="Arial" w:cs="Arial"/>
          <w:sz w:val="24"/>
          <w:szCs w:val="24"/>
        </w:rPr>
        <w:tab/>
        <w:t xml:space="preserve">Item 8.1 of MC 2016-1 states that bureaus, offices or delivery units eligible </w:t>
      </w:r>
      <w:r>
        <w:rPr>
          <w:rFonts w:ascii="Arial" w:hAnsi="Arial" w:cs="Arial"/>
          <w:sz w:val="24"/>
          <w:szCs w:val="24"/>
        </w:rPr>
        <w:tab/>
        <w:t>to the FY 2016 PBB shall be forced ranked according to the following:</w:t>
      </w:r>
    </w:p>
    <w:p w:rsidR="000E0704" w:rsidRDefault="000E0704" w:rsidP="005F219A">
      <w:pPr>
        <w:pStyle w:val="NoSpacing"/>
        <w:rPr>
          <w:rFonts w:ascii="Arial" w:hAnsi="Arial" w:cs="Arial"/>
          <w:sz w:val="24"/>
          <w:szCs w:val="24"/>
        </w:rPr>
      </w:pPr>
      <w:r>
        <w:rPr>
          <w:rFonts w:ascii="Arial" w:hAnsi="Arial" w:cs="Arial"/>
          <w:sz w:val="24"/>
          <w:szCs w:val="24"/>
        </w:rPr>
        <w:tab/>
      </w:r>
    </w:p>
    <w:p w:rsidR="000E0704" w:rsidRPr="000E0704" w:rsidRDefault="000E0704" w:rsidP="005F219A">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sidRPr="000E0704">
        <w:rPr>
          <w:rFonts w:ascii="Arial" w:hAnsi="Arial" w:cs="Arial"/>
          <w:b/>
          <w:sz w:val="24"/>
          <w:szCs w:val="24"/>
        </w:rPr>
        <w:t>Ranking</w:t>
      </w:r>
      <w:r w:rsidRPr="000E0704">
        <w:rPr>
          <w:rFonts w:ascii="Arial" w:hAnsi="Arial" w:cs="Arial"/>
          <w:b/>
          <w:sz w:val="24"/>
          <w:szCs w:val="24"/>
        </w:rPr>
        <w:tab/>
      </w:r>
      <w:r w:rsidRPr="000E0704">
        <w:rPr>
          <w:rFonts w:ascii="Arial" w:hAnsi="Arial" w:cs="Arial"/>
          <w:b/>
          <w:sz w:val="24"/>
          <w:szCs w:val="24"/>
        </w:rPr>
        <w:tab/>
        <w:t>Performance Category</w:t>
      </w:r>
    </w:p>
    <w:p w:rsidR="000E0704" w:rsidRDefault="000E0704" w:rsidP="005F21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0E0704" w:rsidRDefault="000E0704" w:rsidP="005F21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Top 10%</w:t>
      </w:r>
      <w:r>
        <w:rPr>
          <w:rFonts w:ascii="Arial" w:hAnsi="Arial" w:cs="Arial"/>
          <w:sz w:val="24"/>
          <w:szCs w:val="24"/>
        </w:rPr>
        <w:tab/>
      </w:r>
      <w:r>
        <w:rPr>
          <w:rFonts w:ascii="Arial" w:hAnsi="Arial" w:cs="Arial"/>
          <w:sz w:val="24"/>
          <w:szCs w:val="24"/>
        </w:rPr>
        <w:tab/>
        <w:t>Best Bureau/Office/Delivery Unit</w:t>
      </w:r>
    </w:p>
    <w:p w:rsidR="000E0704" w:rsidRDefault="000E0704" w:rsidP="005F21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Next 25%</w:t>
      </w:r>
      <w:r>
        <w:rPr>
          <w:rFonts w:ascii="Arial" w:hAnsi="Arial" w:cs="Arial"/>
          <w:sz w:val="24"/>
          <w:szCs w:val="24"/>
        </w:rPr>
        <w:tab/>
      </w:r>
      <w:r>
        <w:rPr>
          <w:rFonts w:ascii="Arial" w:hAnsi="Arial" w:cs="Arial"/>
          <w:sz w:val="24"/>
          <w:szCs w:val="24"/>
        </w:rPr>
        <w:tab/>
        <w:t>Better Bureau/Office/Delivery Unit</w:t>
      </w:r>
    </w:p>
    <w:p w:rsidR="000E0704" w:rsidRDefault="000E0704" w:rsidP="005F21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Next 65%</w:t>
      </w:r>
      <w:r>
        <w:rPr>
          <w:rFonts w:ascii="Arial" w:hAnsi="Arial" w:cs="Arial"/>
          <w:sz w:val="24"/>
          <w:szCs w:val="24"/>
        </w:rPr>
        <w:tab/>
      </w:r>
      <w:r>
        <w:rPr>
          <w:rFonts w:ascii="Arial" w:hAnsi="Arial" w:cs="Arial"/>
          <w:sz w:val="24"/>
          <w:szCs w:val="24"/>
        </w:rPr>
        <w:tab/>
        <w:t>Good Bureau/Office/Delivery Unit</w:t>
      </w:r>
    </w:p>
    <w:p w:rsidR="007C2D4F" w:rsidRDefault="007C2D4F" w:rsidP="005F219A">
      <w:pPr>
        <w:pStyle w:val="NoSpacing"/>
        <w:rPr>
          <w:rFonts w:ascii="Arial" w:hAnsi="Arial" w:cs="Arial"/>
          <w:sz w:val="24"/>
          <w:szCs w:val="24"/>
        </w:rPr>
      </w:pPr>
    </w:p>
    <w:p w:rsidR="000E0704" w:rsidRPr="00EC04C6" w:rsidRDefault="000E0704" w:rsidP="005F219A">
      <w:pPr>
        <w:pStyle w:val="NoSpacing"/>
        <w:rPr>
          <w:rFonts w:ascii="Arial" w:hAnsi="Arial" w:cs="Arial"/>
          <w:sz w:val="24"/>
          <w:szCs w:val="24"/>
        </w:rPr>
      </w:pPr>
    </w:p>
    <w:p w:rsidR="00D51954" w:rsidRPr="00D51954" w:rsidRDefault="004F186D" w:rsidP="004F186D">
      <w:pPr>
        <w:pStyle w:val="NoSpacing"/>
        <w:ind w:left="360"/>
        <w:jc w:val="both"/>
        <w:rPr>
          <w:rFonts w:ascii="Arial" w:hAnsi="Arial" w:cs="Arial"/>
          <w:sz w:val="24"/>
          <w:szCs w:val="24"/>
          <w:u w:val="single"/>
        </w:rPr>
      </w:pPr>
      <w:r w:rsidRPr="004F186D">
        <w:rPr>
          <w:rFonts w:ascii="Arial" w:hAnsi="Arial" w:cs="Arial"/>
          <w:sz w:val="24"/>
          <w:szCs w:val="24"/>
        </w:rPr>
        <w:t>2.</w:t>
      </w:r>
      <w:r>
        <w:rPr>
          <w:rFonts w:ascii="Arial" w:hAnsi="Arial" w:cs="Arial"/>
          <w:sz w:val="24"/>
          <w:szCs w:val="24"/>
          <w:u w:val="single"/>
        </w:rPr>
        <w:t xml:space="preserve">  </w:t>
      </w:r>
      <w:r w:rsidR="00D51954" w:rsidRPr="00D51954">
        <w:rPr>
          <w:rFonts w:ascii="Arial" w:hAnsi="Arial" w:cs="Arial"/>
          <w:sz w:val="24"/>
          <w:szCs w:val="24"/>
          <w:u w:val="single"/>
        </w:rPr>
        <w:t>Eligibility of the Secretary of Finance:</w:t>
      </w:r>
    </w:p>
    <w:p w:rsidR="00D51954" w:rsidRDefault="00D51954" w:rsidP="00D51954">
      <w:pPr>
        <w:pStyle w:val="NoSpacing"/>
        <w:ind w:left="720"/>
        <w:jc w:val="both"/>
        <w:rPr>
          <w:rFonts w:ascii="Arial" w:hAnsi="Arial" w:cs="Arial"/>
          <w:sz w:val="24"/>
          <w:szCs w:val="24"/>
        </w:rPr>
      </w:pPr>
    </w:p>
    <w:p w:rsidR="000E4451" w:rsidRDefault="005F219A" w:rsidP="00D51954">
      <w:pPr>
        <w:pStyle w:val="NoSpacing"/>
        <w:ind w:left="720"/>
        <w:jc w:val="both"/>
        <w:rPr>
          <w:rFonts w:ascii="Arial" w:hAnsi="Arial" w:cs="Arial"/>
          <w:sz w:val="24"/>
          <w:szCs w:val="24"/>
        </w:rPr>
      </w:pPr>
      <w:r>
        <w:rPr>
          <w:rFonts w:ascii="Arial" w:hAnsi="Arial" w:cs="Arial"/>
          <w:sz w:val="24"/>
          <w:szCs w:val="24"/>
        </w:rPr>
        <w:t xml:space="preserve">The eligibility of the Secretary of Finance to the Performance-Based Bonus </w:t>
      </w:r>
      <w:r w:rsidR="0057441D">
        <w:rPr>
          <w:rFonts w:ascii="Arial" w:hAnsi="Arial" w:cs="Arial"/>
          <w:sz w:val="24"/>
          <w:szCs w:val="24"/>
        </w:rPr>
        <w:t xml:space="preserve">(PBB) </w:t>
      </w:r>
      <w:r>
        <w:rPr>
          <w:rFonts w:ascii="Arial" w:hAnsi="Arial" w:cs="Arial"/>
          <w:sz w:val="24"/>
          <w:szCs w:val="24"/>
        </w:rPr>
        <w:t>will depend on the eligibility and performanc</w:t>
      </w:r>
      <w:r w:rsidR="000E4451">
        <w:rPr>
          <w:rFonts w:ascii="Arial" w:hAnsi="Arial" w:cs="Arial"/>
          <w:sz w:val="24"/>
          <w:szCs w:val="24"/>
        </w:rPr>
        <w:t>e of the Department of Finance;</w:t>
      </w:r>
      <w:r>
        <w:rPr>
          <w:rFonts w:ascii="Arial" w:hAnsi="Arial" w:cs="Arial"/>
          <w:sz w:val="24"/>
          <w:szCs w:val="24"/>
        </w:rPr>
        <w:t xml:space="preserve"> </w:t>
      </w:r>
    </w:p>
    <w:p w:rsidR="000E4451" w:rsidRDefault="000E4451" w:rsidP="000E4451">
      <w:pPr>
        <w:pStyle w:val="NoSpacing"/>
        <w:ind w:left="720"/>
        <w:jc w:val="both"/>
        <w:rPr>
          <w:rFonts w:ascii="Arial" w:hAnsi="Arial" w:cs="Arial"/>
          <w:sz w:val="24"/>
          <w:szCs w:val="24"/>
        </w:rPr>
      </w:pPr>
    </w:p>
    <w:p w:rsidR="000E4451" w:rsidRDefault="000E4451" w:rsidP="000E4451">
      <w:pPr>
        <w:pStyle w:val="NoSpacing"/>
        <w:ind w:left="720"/>
        <w:jc w:val="both"/>
        <w:rPr>
          <w:rFonts w:ascii="Arial" w:hAnsi="Arial" w:cs="Arial"/>
          <w:sz w:val="24"/>
          <w:szCs w:val="24"/>
        </w:rPr>
      </w:pPr>
      <w:r>
        <w:rPr>
          <w:rFonts w:ascii="Arial" w:hAnsi="Arial" w:cs="Arial"/>
          <w:sz w:val="24"/>
          <w:szCs w:val="24"/>
        </w:rPr>
        <w:t>The PBB of the Secretary of Finance shall be based on the monthly basic salary as of December 31, 2016, as follows:</w:t>
      </w:r>
    </w:p>
    <w:p w:rsidR="005F219A" w:rsidRDefault="005F219A" w:rsidP="005F219A">
      <w:pPr>
        <w:pStyle w:val="NoSpacing"/>
        <w:ind w:left="720"/>
        <w:jc w:val="both"/>
        <w:rPr>
          <w:rFonts w:ascii="Arial" w:hAnsi="Arial" w:cs="Arial"/>
          <w:sz w:val="24"/>
          <w:szCs w:val="24"/>
        </w:rPr>
      </w:pPr>
    </w:p>
    <w:tbl>
      <w:tblPr>
        <w:tblStyle w:val="TableGrid"/>
        <w:tblW w:w="0" w:type="auto"/>
        <w:tblInd w:w="720" w:type="dxa"/>
        <w:tblLook w:val="04A0"/>
      </w:tblPr>
      <w:tblGrid>
        <w:gridCol w:w="5958"/>
        <w:gridCol w:w="2268"/>
      </w:tblGrid>
      <w:tr w:rsidR="0057441D" w:rsidTr="0057441D">
        <w:tc>
          <w:tcPr>
            <w:tcW w:w="5958" w:type="dxa"/>
          </w:tcPr>
          <w:p w:rsidR="0057441D" w:rsidRDefault="0057441D" w:rsidP="0057441D">
            <w:pPr>
              <w:pStyle w:val="NoSpacing"/>
              <w:jc w:val="center"/>
              <w:rPr>
                <w:rFonts w:ascii="Arial" w:hAnsi="Arial" w:cs="Arial"/>
                <w:sz w:val="24"/>
                <w:szCs w:val="24"/>
              </w:rPr>
            </w:pPr>
            <w:r>
              <w:rPr>
                <w:rFonts w:ascii="Arial" w:hAnsi="Arial" w:cs="Arial"/>
                <w:sz w:val="24"/>
                <w:szCs w:val="24"/>
              </w:rPr>
              <w:t>Performance of Eligible Agency</w:t>
            </w:r>
          </w:p>
        </w:tc>
        <w:tc>
          <w:tcPr>
            <w:tcW w:w="2268" w:type="dxa"/>
          </w:tcPr>
          <w:p w:rsidR="0057441D" w:rsidRDefault="0057441D" w:rsidP="0057441D">
            <w:pPr>
              <w:pStyle w:val="NoSpacing"/>
              <w:jc w:val="center"/>
              <w:rPr>
                <w:rFonts w:ascii="Arial" w:hAnsi="Arial" w:cs="Arial"/>
                <w:sz w:val="24"/>
                <w:szCs w:val="24"/>
              </w:rPr>
            </w:pPr>
            <w:r>
              <w:rPr>
                <w:rFonts w:ascii="Arial" w:hAnsi="Arial" w:cs="Arial"/>
                <w:sz w:val="24"/>
                <w:szCs w:val="24"/>
              </w:rPr>
              <w:t>PBB as % of Monthly Basic Salary</w:t>
            </w:r>
          </w:p>
        </w:tc>
      </w:tr>
      <w:tr w:rsidR="0057441D" w:rsidTr="0057441D">
        <w:tc>
          <w:tcPr>
            <w:tcW w:w="5958" w:type="dxa"/>
          </w:tcPr>
          <w:p w:rsidR="0057441D" w:rsidRDefault="0057441D" w:rsidP="005F219A">
            <w:pPr>
              <w:pStyle w:val="NoSpacing"/>
              <w:jc w:val="both"/>
              <w:rPr>
                <w:rFonts w:ascii="Arial" w:hAnsi="Arial" w:cs="Arial"/>
                <w:sz w:val="24"/>
                <w:szCs w:val="24"/>
              </w:rPr>
            </w:pPr>
            <w:r>
              <w:rPr>
                <w:rFonts w:ascii="Arial" w:hAnsi="Arial" w:cs="Arial"/>
                <w:sz w:val="24"/>
                <w:szCs w:val="24"/>
              </w:rPr>
              <w:t xml:space="preserve">Agency achieved all GGCs, and its physical targets in </w:t>
            </w:r>
            <w:r w:rsidRPr="007541C0">
              <w:rPr>
                <w:rFonts w:ascii="Arial" w:hAnsi="Arial" w:cs="Arial"/>
                <w:b/>
                <w:sz w:val="24"/>
                <w:szCs w:val="24"/>
              </w:rPr>
              <w:t>all</w:t>
            </w:r>
            <w:r>
              <w:rPr>
                <w:rFonts w:ascii="Arial" w:hAnsi="Arial" w:cs="Arial"/>
                <w:sz w:val="24"/>
                <w:szCs w:val="24"/>
              </w:rPr>
              <w:t xml:space="preserve"> MFOs, STO and GASS indicators</w:t>
            </w:r>
          </w:p>
        </w:tc>
        <w:tc>
          <w:tcPr>
            <w:tcW w:w="2268" w:type="dxa"/>
          </w:tcPr>
          <w:p w:rsidR="0057441D" w:rsidRDefault="0057441D" w:rsidP="0057441D">
            <w:pPr>
              <w:pStyle w:val="NoSpacing"/>
              <w:jc w:val="center"/>
              <w:rPr>
                <w:rFonts w:ascii="Arial" w:hAnsi="Arial" w:cs="Arial"/>
                <w:sz w:val="24"/>
                <w:szCs w:val="24"/>
              </w:rPr>
            </w:pPr>
            <w:r>
              <w:rPr>
                <w:rFonts w:ascii="Arial" w:hAnsi="Arial" w:cs="Arial"/>
                <w:sz w:val="24"/>
                <w:szCs w:val="24"/>
              </w:rPr>
              <w:t>65%</w:t>
            </w:r>
          </w:p>
        </w:tc>
      </w:tr>
      <w:tr w:rsidR="0057441D" w:rsidTr="0057441D">
        <w:tc>
          <w:tcPr>
            <w:tcW w:w="5958" w:type="dxa"/>
          </w:tcPr>
          <w:p w:rsidR="0057441D" w:rsidRDefault="0057441D" w:rsidP="005F219A">
            <w:pPr>
              <w:pStyle w:val="NoSpacing"/>
              <w:jc w:val="both"/>
              <w:rPr>
                <w:rFonts w:ascii="Arial" w:hAnsi="Arial" w:cs="Arial"/>
                <w:sz w:val="24"/>
                <w:szCs w:val="24"/>
              </w:rPr>
            </w:pPr>
            <w:r>
              <w:rPr>
                <w:rFonts w:ascii="Arial" w:hAnsi="Arial" w:cs="Arial"/>
                <w:sz w:val="24"/>
                <w:szCs w:val="24"/>
              </w:rPr>
              <w:t>Agency achieved all GGCs and has deficiency/</w:t>
            </w:r>
            <w:proofErr w:type="spellStart"/>
            <w:r>
              <w:rPr>
                <w:rFonts w:ascii="Arial" w:hAnsi="Arial" w:cs="Arial"/>
                <w:sz w:val="24"/>
                <w:szCs w:val="24"/>
              </w:rPr>
              <w:t>ies</w:t>
            </w:r>
            <w:proofErr w:type="spellEnd"/>
            <w:r>
              <w:rPr>
                <w:rFonts w:ascii="Arial" w:hAnsi="Arial" w:cs="Arial"/>
                <w:sz w:val="24"/>
                <w:szCs w:val="24"/>
              </w:rPr>
              <w:t xml:space="preserve"> in </w:t>
            </w:r>
            <w:r w:rsidRPr="007541C0">
              <w:rPr>
                <w:rFonts w:ascii="Arial" w:hAnsi="Arial" w:cs="Arial"/>
                <w:b/>
                <w:sz w:val="24"/>
                <w:szCs w:val="24"/>
              </w:rPr>
              <w:t>some</w:t>
            </w:r>
            <w:r>
              <w:rPr>
                <w:rFonts w:ascii="Arial" w:hAnsi="Arial" w:cs="Arial"/>
                <w:sz w:val="24"/>
                <w:szCs w:val="24"/>
              </w:rPr>
              <w:t xml:space="preserve"> of its physical target/s due to uncontrollable </w:t>
            </w:r>
            <w:r>
              <w:rPr>
                <w:rFonts w:ascii="Arial" w:hAnsi="Arial" w:cs="Arial"/>
                <w:sz w:val="24"/>
                <w:szCs w:val="24"/>
              </w:rPr>
              <w:lastRenderedPageBreak/>
              <w:t>reasons</w:t>
            </w:r>
          </w:p>
        </w:tc>
        <w:tc>
          <w:tcPr>
            <w:tcW w:w="2268" w:type="dxa"/>
          </w:tcPr>
          <w:p w:rsidR="0057441D" w:rsidRDefault="0057441D" w:rsidP="0057441D">
            <w:pPr>
              <w:pStyle w:val="NoSpacing"/>
              <w:jc w:val="center"/>
              <w:rPr>
                <w:rFonts w:ascii="Arial" w:hAnsi="Arial" w:cs="Arial"/>
                <w:sz w:val="24"/>
                <w:szCs w:val="24"/>
              </w:rPr>
            </w:pPr>
            <w:r>
              <w:rPr>
                <w:rFonts w:ascii="Arial" w:hAnsi="Arial" w:cs="Arial"/>
                <w:sz w:val="24"/>
                <w:szCs w:val="24"/>
              </w:rPr>
              <w:lastRenderedPageBreak/>
              <w:t>57.5%</w:t>
            </w:r>
          </w:p>
        </w:tc>
      </w:tr>
      <w:tr w:rsidR="0057441D" w:rsidTr="0057441D">
        <w:tc>
          <w:tcPr>
            <w:tcW w:w="5958" w:type="dxa"/>
          </w:tcPr>
          <w:p w:rsidR="0057441D" w:rsidRDefault="0057441D" w:rsidP="005F219A">
            <w:pPr>
              <w:pStyle w:val="NoSpacing"/>
              <w:jc w:val="both"/>
              <w:rPr>
                <w:rFonts w:ascii="Arial" w:hAnsi="Arial" w:cs="Arial"/>
                <w:sz w:val="24"/>
                <w:szCs w:val="24"/>
              </w:rPr>
            </w:pPr>
            <w:r>
              <w:rPr>
                <w:rFonts w:ascii="Arial" w:hAnsi="Arial" w:cs="Arial"/>
                <w:sz w:val="24"/>
                <w:szCs w:val="24"/>
              </w:rPr>
              <w:lastRenderedPageBreak/>
              <w:t xml:space="preserve">Agency achieved all GGCs, and has deficiency in </w:t>
            </w:r>
            <w:r w:rsidRPr="007541C0">
              <w:rPr>
                <w:rFonts w:ascii="Arial" w:hAnsi="Arial" w:cs="Arial"/>
                <w:b/>
                <w:sz w:val="24"/>
                <w:szCs w:val="24"/>
              </w:rPr>
              <w:t>one</w:t>
            </w:r>
            <w:r>
              <w:rPr>
                <w:rFonts w:ascii="Arial" w:hAnsi="Arial" w:cs="Arial"/>
                <w:sz w:val="24"/>
                <w:szCs w:val="24"/>
              </w:rPr>
              <w:t xml:space="preserve"> of its physical target/s due to controllable reasons</w:t>
            </w:r>
          </w:p>
        </w:tc>
        <w:tc>
          <w:tcPr>
            <w:tcW w:w="2268" w:type="dxa"/>
          </w:tcPr>
          <w:p w:rsidR="0057441D" w:rsidRDefault="0057441D" w:rsidP="0057441D">
            <w:pPr>
              <w:pStyle w:val="NoSpacing"/>
              <w:jc w:val="center"/>
              <w:rPr>
                <w:rFonts w:ascii="Arial" w:hAnsi="Arial" w:cs="Arial"/>
                <w:sz w:val="24"/>
                <w:szCs w:val="24"/>
              </w:rPr>
            </w:pPr>
            <w:r>
              <w:rPr>
                <w:rFonts w:ascii="Arial" w:hAnsi="Arial" w:cs="Arial"/>
                <w:sz w:val="24"/>
                <w:szCs w:val="24"/>
              </w:rPr>
              <w:t>50%</w:t>
            </w:r>
          </w:p>
        </w:tc>
      </w:tr>
    </w:tbl>
    <w:p w:rsidR="005F219A" w:rsidRDefault="005F219A" w:rsidP="005F219A">
      <w:pPr>
        <w:pStyle w:val="NoSpacing"/>
        <w:ind w:left="720"/>
        <w:jc w:val="both"/>
        <w:rPr>
          <w:rFonts w:ascii="Arial" w:hAnsi="Arial" w:cs="Arial"/>
          <w:sz w:val="24"/>
          <w:szCs w:val="24"/>
        </w:rPr>
      </w:pPr>
    </w:p>
    <w:p w:rsidR="00285C8A" w:rsidRDefault="007541C0" w:rsidP="005F219A">
      <w:pPr>
        <w:pStyle w:val="NoSpacing"/>
        <w:ind w:left="720"/>
        <w:jc w:val="both"/>
        <w:rPr>
          <w:rFonts w:ascii="Arial" w:hAnsi="Arial" w:cs="Arial"/>
          <w:sz w:val="24"/>
          <w:szCs w:val="24"/>
        </w:rPr>
      </w:pPr>
      <w:r>
        <w:rPr>
          <w:rFonts w:ascii="Arial" w:hAnsi="Arial" w:cs="Arial"/>
          <w:sz w:val="24"/>
          <w:szCs w:val="24"/>
        </w:rPr>
        <w:t>The Secretary of Finance</w:t>
      </w:r>
      <w:r w:rsidR="0057441D">
        <w:rPr>
          <w:rFonts w:ascii="Arial" w:hAnsi="Arial" w:cs="Arial"/>
          <w:sz w:val="24"/>
          <w:szCs w:val="24"/>
        </w:rPr>
        <w:t xml:space="preserve"> shall not be included in the ranking and reporting of delivery units but will be provided a separate line under Form 1.0.</w:t>
      </w:r>
    </w:p>
    <w:p w:rsidR="004F186D" w:rsidRDefault="004F186D" w:rsidP="004F186D">
      <w:pPr>
        <w:pStyle w:val="NoSpacing"/>
        <w:ind w:left="720"/>
        <w:jc w:val="both"/>
        <w:rPr>
          <w:rFonts w:ascii="Arial" w:hAnsi="Arial" w:cs="Arial"/>
          <w:sz w:val="24"/>
          <w:szCs w:val="24"/>
        </w:rPr>
      </w:pPr>
    </w:p>
    <w:p w:rsidR="00D51954" w:rsidRDefault="004F186D" w:rsidP="004F186D">
      <w:pPr>
        <w:pStyle w:val="NoSpacing"/>
        <w:ind w:left="360"/>
        <w:jc w:val="both"/>
        <w:rPr>
          <w:rFonts w:ascii="Arial" w:hAnsi="Arial" w:cs="Arial"/>
          <w:sz w:val="24"/>
          <w:szCs w:val="24"/>
        </w:rPr>
      </w:pPr>
      <w:r>
        <w:rPr>
          <w:rFonts w:ascii="Arial" w:hAnsi="Arial" w:cs="Arial"/>
          <w:sz w:val="24"/>
          <w:szCs w:val="24"/>
        </w:rPr>
        <w:t xml:space="preserve">3.   </w:t>
      </w:r>
      <w:r w:rsidR="00D51954" w:rsidRPr="00D51954">
        <w:rPr>
          <w:rFonts w:ascii="Arial" w:hAnsi="Arial" w:cs="Arial"/>
          <w:sz w:val="24"/>
          <w:szCs w:val="24"/>
          <w:u w:val="single"/>
        </w:rPr>
        <w:t>Eligibility of Officials and Employees</w:t>
      </w:r>
      <w:r w:rsidR="00D51954">
        <w:rPr>
          <w:rFonts w:ascii="Arial" w:hAnsi="Arial" w:cs="Arial"/>
          <w:sz w:val="24"/>
          <w:szCs w:val="24"/>
        </w:rPr>
        <w:t>:</w:t>
      </w:r>
    </w:p>
    <w:p w:rsidR="00D51954" w:rsidRDefault="00D51954" w:rsidP="00D51954">
      <w:pPr>
        <w:pStyle w:val="NoSpacing"/>
        <w:ind w:left="720"/>
        <w:jc w:val="both"/>
        <w:rPr>
          <w:rFonts w:ascii="Arial" w:hAnsi="Arial" w:cs="Arial"/>
          <w:sz w:val="24"/>
          <w:szCs w:val="24"/>
        </w:rPr>
      </w:pPr>
    </w:p>
    <w:p w:rsidR="000E4451" w:rsidRDefault="000E4451" w:rsidP="00D51954">
      <w:pPr>
        <w:pStyle w:val="NoSpacing"/>
        <w:ind w:left="720"/>
        <w:jc w:val="both"/>
        <w:rPr>
          <w:rFonts w:ascii="Arial" w:hAnsi="Arial" w:cs="Arial"/>
          <w:sz w:val="24"/>
          <w:szCs w:val="24"/>
        </w:rPr>
      </w:pPr>
      <w:r>
        <w:rPr>
          <w:rFonts w:ascii="Arial" w:hAnsi="Arial" w:cs="Arial"/>
          <w:sz w:val="24"/>
          <w:szCs w:val="24"/>
        </w:rPr>
        <w:t>Only the personnel belonging to eligible bureaus, offices or delivery units are qualified for the PBB.  There shall no longer be a ranking of individuals within a delivery unit;</w:t>
      </w:r>
    </w:p>
    <w:p w:rsidR="000E4451" w:rsidRDefault="000E4451" w:rsidP="000E4451">
      <w:pPr>
        <w:pStyle w:val="NoSpacing"/>
        <w:ind w:left="720"/>
        <w:jc w:val="both"/>
        <w:rPr>
          <w:rFonts w:ascii="Arial" w:hAnsi="Arial" w:cs="Arial"/>
          <w:sz w:val="24"/>
          <w:szCs w:val="24"/>
        </w:rPr>
      </w:pPr>
    </w:p>
    <w:p w:rsidR="000E4451" w:rsidRDefault="000E4451" w:rsidP="000E4451">
      <w:pPr>
        <w:pStyle w:val="NoSpacing"/>
        <w:ind w:left="720"/>
        <w:jc w:val="both"/>
        <w:rPr>
          <w:rFonts w:ascii="Arial" w:hAnsi="Arial" w:cs="Arial"/>
          <w:sz w:val="24"/>
          <w:szCs w:val="24"/>
        </w:rPr>
      </w:pPr>
      <w:r>
        <w:rPr>
          <w:rFonts w:ascii="Arial" w:hAnsi="Arial" w:cs="Arial"/>
          <w:sz w:val="24"/>
          <w:szCs w:val="24"/>
        </w:rPr>
        <w:t>The PBB rates of individual employees shall depend on the performance ranking of the bureau or delivery unit where they belong, based on the individual's monthly basic salary as of December 31, 2016, as follows, but not lower than Php5</w:t>
      </w:r>
      <w:proofErr w:type="gramStart"/>
      <w:r>
        <w:rPr>
          <w:rFonts w:ascii="Arial" w:hAnsi="Arial" w:cs="Arial"/>
          <w:sz w:val="24"/>
          <w:szCs w:val="24"/>
        </w:rPr>
        <w:t>,000.00</w:t>
      </w:r>
      <w:proofErr w:type="gramEnd"/>
      <w:r>
        <w:rPr>
          <w:rFonts w:ascii="Arial" w:hAnsi="Arial" w:cs="Arial"/>
          <w:sz w:val="24"/>
          <w:szCs w:val="24"/>
        </w:rPr>
        <w:t>:</w:t>
      </w:r>
    </w:p>
    <w:p w:rsidR="00386F40" w:rsidRDefault="00386F40" w:rsidP="000E4451">
      <w:pPr>
        <w:pStyle w:val="NoSpacing"/>
        <w:ind w:left="720"/>
        <w:jc w:val="both"/>
        <w:rPr>
          <w:rFonts w:ascii="Arial" w:hAnsi="Arial" w:cs="Arial"/>
          <w:sz w:val="24"/>
          <w:szCs w:val="24"/>
        </w:rPr>
      </w:pPr>
    </w:p>
    <w:p w:rsidR="00386F40" w:rsidRDefault="000E4451" w:rsidP="000E4451">
      <w:pPr>
        <w:pStyle w:val="NoSpacing"/>
        <w:ind w:left="720"/>
        <w:jc w:val="both"/>
        <w:rPr>
          <w:rFonts w:ascii="Arial" w:hAnsi="Arial" w:cs="Arial"/>
          <w:sz w:val="24"/>
          <w:szCs w:val="24"/>
        </w:rPr>
      </w:pPr>
      <w:r>
        <w:rPr>
          <w:rFonts w:ascii="Arial" w:hAnsi="Arial" w:cs="Arial"/>
          <w:sz w:val="24"/>
          <w:szCs w:val="24"/>
        </w:rPr>
        <w:t xml:space="preserve"> </w:t>
      </w:r>
    </w:p>
    <w:tbl>
      <w:tblPr>
        <w:tblStyle w:val="TableGrid"/>
        <w:tblW w:w="0" w:type="auto"/>
        <w:tblInd w:w="720" w:type="dxa"/>
        <w:tblLook w:val="04A0"/>
      </w:tblPr>
      <w:tblGrid>
        <w:gridCol w:w="5328"/>
        <w:gridCol w:w="2898"/>
      </w:tblGrid>
      <w:tr w:rsidR="00386F40" w:rsidTr="00386F40">
        <w:tc>
          <w:tcPr>
            <w:tcW w:w="5328" w:type="dxa"/>
          </w:tcPr>
          <w:p w:rsidR="00386F40" w:rsidRDefault="00386F40" w:rsidP="00D51954">
            <w:pPr>
              <w:pStyle w:val="NoSpacing"/>
              <w:jc w:val="center"/>
              <w:rPr>
                <w:rFonts w:ascii="Arial" w:hAnsi="Arial" w:cs="Arial"/>
                <w:sz w:val="24"/>
                <w:szCs w:val="24"/>
              </w:rPr>
            </w:pPr>
            <w:r>
              <w:rPr>
                <w:rFonts w:ascii="Arial" w:hAnsi="Arial" w:cs="Arial"/>
                <w:sz w:val="24"/>
                <w:szCs w:val="24"/>
              </w:rPr>
              <w:t>Performance of Eligible Agency</w:t>
            </w:r>
          </w:p>
        </w:tc>
        <w:tc>
          <w:tcPr>
            <w:tcW w:w="2898" w:type="dxa"/>
          </w:tcPr>
          <w:p w:rsidR="00386F40" w:rsidRDefault="00386F40" w:rsidP="00D51954">
            <w:pPr>
              <w:pStyle w:val="NoSpacing"/>
              <w:jc w:val="center"/>
              <w:rPr>
                <w:rFonts w:ascii="Arial" w:hAnsi="Arial" w:cs="Arial"/>
                <w:sz w:val="24"/>
                <w:szCs w:val="24"/>
              </w:rPr>
            </w:pPr>
            <w:r>
              <w:rPr>
                <w:rFonts w:ascii="Arial" w:hAnsi="Arial" w:cs="Arial"/>
                <w:sz w:val="24"/>
                <w:szCs w:val="24"/>
              </w:rPr>
              <w:t>PBB as % of Monthly Basic Salary</w:t>
            </w:r>
          </w:p>
        </w:tc>
      </w:tr>
      <w:tr w:rsidR="00386F40" w:rsidTr="00386F40">
        <w:tc>
          <w:tcPr>
            <w:tcW w:w="5328" w:type="dxa"/>
          </w:tcPr>
          <w:p w:rsidR="00386F40" w:rsidRDefault="00386F40" w:rsidP="00D51954">
            <w:pPr>
              <w:pStyle w:val="NoSpacing"/>
              <w:jc w:val="both"/>
              <w:rPr>
                <w:rFonts w:ascii="Arial" w:hAnsi="Arial" w:cs="Arial"/>
                <w:sz w:val="24"/>
                <w:szCs w:val="24"/>
              </w:rPr>
            </w:pPr>
            <w:r>
              <w:rPr>
                <w:rFonts w:ascii="Arial" w:hAnsi="Arial" w:cs="Arial"/>
                <w:sz w:val="24"/>
                <w:szCs w:val="24"/>
              </w:rPr>
              <w:t>Best Bureau/Office/Delivery Unit (10%)</w:t>
            </w:r>
          </w:p>
        </w:tc>
        <w:tc>
          <w:tcPr>
            <w:tcW w:w="2898" w:type="dxa"/>
          </w:tcPr>
          <w:p w:rsidR="00386F40" w:rsidRDefault="00386F40" w:rsidP="00D51954">
            <w:pPr>
              <w:pStyle w:val="NoSpacing"/>
              <w:jc w:val="center"/>
              <w:rPr>
                <w:rFonts w:ascii="Arial" w:hAnsi="Arial" w:cs="Arial"/>
                <w:sz w:val="24"/>
                <w:szCs w:val="24"/>
              </w:rPr>
            </w:pPr>
            <w:r>
              <w:rPr>
                <w:rFonts w:ascii="Arial" w:hAnsi="Arial" w:cs="Arial"/>
                <w:sz w:val="24"/>
                <w:szCs w:val="24"/>
              </w:rPr>
              <w:t>65%</w:t>
            </w:r>
          </w:p>
        </w:tc>
      </w:tr>
      <w:tr w:rsidR="00386F40" w:rsidTr="00386F40">
        <w:tc>
          <w:tcPr>
            <w:tcW w:w="5328" w:type="dxa"/>
          </w:tcPr>
          <w:p w:rsidR="00386F40" w:rsidRDefault="00386F40" w:rsidP="00D51954">
            <w:pPr>
              <w:pStyle w:val="NoSpacing"/>
              <w:jc w:val="both"/>
              <w:rPr>
                <w:rFonts w:ascii="Arial" w:hAnsi="Arial" w:cs="Arial"/>
                <w:sz w:val="24"/>
                <w:szCs w:val="24"/>
              </w:rPr>
            </w:pPr>
            <w:r>
              <w:rPr>
                <w:rFonts w:ascii="Arial" w:hAnsi="Arial" w:cs="Arial"/>
                <w:sz w:val="24"/>
                <w:szCs w:val="24"/>
              </w:rPr>
              <w:t>Better Bureau/Office/Delivery Unit (25%)</w:t>
            </w:r>
          </w:p>
        </w:tc>
        <w:tc>
          <w:tcPr>
            <w:tcW w:w="2898" w:type="dxa"/>
          </w:tcPr>
          <w:p w:rsidR="00386F40" w:rsidRDefault="00386F40" w:rsidP="00D51954">
            <w:pPr>
              <w:pStyle w:val="NoSpacing"/>
              <w:jc w:val="center"/>
              <w:rPr>
                <w:rFonts w:ascii="Arial" w:hAnsi="Arial" w:cs="Arial"/>
                <w:sz w:val="24"/>
                <w:szCs w:val="24"/>
              </w:rPr>
            </w:pPr>
            <w:r>
              <w:rPr>
                <w:rFonts w:ascii="Arial" w:hAnsi="Arial" w:cs="Arial"/>
                <w:sz w:val="24"/>
                <w:szCs w:val="24"/>
              </w:rPr>
              <w:t>57.5%</w:t>
            </w:r>
          </w:p>
        </w:tc>
      </w:tr>
      <w:tr w:rsidR="00386F40" w:rsidTr="00386F40">
        <w:tc>
          <w:tcPr>
            <w:tcW w:w="5328" w:type="dxa"/>
          </w:tcPr>
          <w:p w:rsidR="00386F40" w:rsidRDefault="00386F40" w:rsidP="00D51954">
            <w:pPr>
              <w:pStyle w:val="NoSpacing"/>
              <w:jc w:val="both"/>
              <w:rPr>
                <w:rFonts w:ascii="Arial" w:hAnsi="Arial" w:cs="Arial"/>
                <w:sz w:val="24"/>
                <w:szCs w:val="24"/>
              </w:rPr>
            </w:pPr>
            <w:r>
              <w:rPr>
                <w:rFonts w:ascii="Arial" w:hAnsi="Arial" w:cs="Arial"/>
                <w:sz w:val="24"/>
                <w:szCs w:val="24"/>
              </w:rPr>
              <w:t>Good Bureau/Office/Delivery Unit (65%)</w:t>
            </w:r>
          </w:p>
        </w:tc>
        <w:tc>
          <w:tcPr>
            <w:tcW w:w="2898" w:type="dxa"/>
          </w:tcPr>
          <w:p w:rsidR="00386F40" w:rsidRDefault="00386F40" w:rsidP="00D51954">
            <w:pPr>
              <w:pStyle w:val="NoSpacing"/>
              <w:jc w:val="center"/>
              <w:rPr>
                <w:rFonts w:ascii="Arial" w:hAnsi="Arial" w:cs="Arial"/>
                <w:sz w:val="24"/>
                <w:szCs w:val="24"/>
              </w:rPr>
            </w:pPr>
            <w:r>
              <w:rPr>
                <w:rFonts w:ascii="Arial" w:hAnsi="Arial" w:cs="Arial"/>
                <w:sz w:val="24"/>
                <w:szCs w:val="24"/>
              </w:rPr>
              <w:t>50%</w:t>
            </w:r>
          </w:p>
        </w:tc>
      </w:tr>
    </w:tbl>
    <w:p w:rsidR="000E4451" w:rsidRDefault="000E4451" w:rsidP="000E4451">
      <w:pPr>
        <w:pStyle w:val="NoSpacing"/>
        <w:ind w:left="720"/>
        <w:jc w:val="both"/>
        <w:rPr>
          <w:rFonts w:ascii="Arial" w:hAnsi="Arial" w:cs="Arial"/>
          <w:sz w:val="24"/>
          <w:szCs w:val="24"/>
        </w:rPr>
      </w:pPr>
    </w:p>
    <w:p w:rsidR="004F186D" w:rsidRDefault="004F186D" w:rsidP="004F186D">
      <w:pPr>
        <w:pStyle w:val="NoSpacing"/>
        <w:ind w:left="720"/>
        <w:jc w:val="both"/>
        <w:rPr>
          <w:rFonts w:ascii="Arial" w:hAnsi="Arial" w:cs="Arial"/>
          <w:sz w:val="24"/>
          <w:szCs w:val="24"/>
        </w:rPr>
      </w:pPr>
    </w:p>
    <w:p w:rsidR="00285C8A" w:rsidRDefault="004F186D" w:rsidP="007C2D4F">
      <w:pPr>
        <w:pStyle w:val="NoSpacing"/>
        <w:ind w:left="720" w:hanging="360"/>
        <w:jc w:val="both"/>
        <w:rPr>
          <w:rFonts w:ascii="Arial" w:hAnsi="Arial" w:cs="Arial"/>
          <w:sz w:val="24"/>
          <w:szCs w:val="24"/>
        </w:rPr>
      </w:pPr>
      <w:r>
        <w:rPr>
          <w:rFonts w:ascii="Arial" w:hAnsi="Arial" w:cs="Arial"/>
          <w:sz w:val="24"/>
          <w:szCs w:val="24"/>
        </w:rPr>
        <w:t xml:space="preserve">4.  </w:t>
      </w:r>
      <w:r w:rsidR="00285C8A">
        <w:rPr>
          <w:rFonts w:ascii="Arial" w:hAnsi="Arial" w:cs="Arial"/>
          <w:sz w:val="24"/>
          <w:szCs w:val="24"/>
        </w:rPr>
        <w:t xml:space="preserve">An official or employee who has rendered a minimum of nine (9) months of service in FY 2016 and with at least </w:t>
      </w:r>
      <w:proofErr w:type="gramStart"/>
      <w:r w:rsidR="00285C8A">
        <w:rPr>
          <w:rFonts w:ascii="Arial" w:hAnsi="Arial" w:cs="Arial"/>
          <w:sz w:val="24"/>
          <w:szCs w:val="24"/>
        </w:rPr>
        <w:t>Satisfactory</w:t>
      </w:r>
      <w:proofErr w:type="gramEnd"/>
      <w:r w:rsidR="00285C8A">
        <w:rPr>
          <w:rFonts w:ascii="Arial" w:hAnsi="Arial" w:cs="Arial"/>
          <w:sz w:val="24"/>
          <w:szCs w:val="24"/>
        </w:rPr>
        <w:t xml:space="preserve"> rating may be eligib</w:t>
      </w:r>
      <w:r w:rsidR="007541C0">
        <w:rPr>
          <w:rFonts w:ascii="Arial" w:hAnsi="Arial" w:cs="Arial"/>
          <w:sz w:val="24"/>
          <w:szCs w:val="24"/>
        </w:rPr>
        <w:t>le to the full grant of the PBB;</w:t>
      </w:r>
    </w:p>
    <w:p w:rsidR="00285C8A" w:rsidRDefault="00285C8A" w:rsidP="00285C8A">
      <w:pPr>
        <w:pStyle w:val="NoSpacing"/>
        <w:ind w:left="720"/>
        <w:jc w:val="both"/>
        <w:rPr>
          <w:rFonts w:ascii="Arial" w:hAnsi="Arial" w:cs="Arial"/>
          <w:sz w:val="24"/>
          <w:szCs w:val="24"/>
        </w:rPr>
      </w:pPr>
    </w:p>
    <w:p w:rsidR="005F219A" w:rsidRDefault="004F186D" w:rsidP="004F186D">
      <w:pPr>
        <w:pStyle w:val="NoSpacing"/>
        <w:tabs>
          <w:tab w:val="left" w:pos="360"/>
        </w:tabs>
        <w:ind w:left="720" w:hanging="270"/>
        <w:jc w:val="both"/>
        <w:rPr>
          <w:rFonts w:ascii="Arial" w:hAnsi="Arial" w:cs="Arial"/>
          <w:sz w:val="24"/>
          <w:szCs w:val="24"/>
        </w:rPr>
      </w:pPr>
      <w:r>
        <w:rPr>
          <w:rFonts w:ascii="Arial" w:hAnsi="Arial" w:cs="Arial"/>
          <w:sz w:val="24"/>
          <w:szCs w:val="24"/>
        </w:rPr>
        <w:t xml:space="preserve">5. </w:t>
      </w:r>
      <w:r w:rsidR="0057441D">
        <w:rPr>
          <w:rFonts w:ascii="Arial" w:hAnsi="Arial" w:cs="Arial"/>
          <w:sz w:val="24"/>
          <w:szCs w:val="24"/>
        </w:rPr>
        <w:t>Employees belonging to the First and Second Levels should receive a rating of at least "Sat</w:t>
      </w:r>
      <w:r w:rsidR="006E58DA">
        <w:rPr>
          <w:rFonts w:ascii="Arial" w:hAnsi="Arial" w:cs="Arial"/>
          <w:sz w:val="24"/>
          <w:szCs w:val="24"/>
        </w:rPr>
        <w:t>isfactory" based on the DOF's</w:t>
      </w:r>
      <w:r w:rsidR="0057441D">
        <w:rPr>
          <w:rFonts w:ascii="Arial" w:hAnsi="Arial" w:cs="Arial"/>
          <w:sz w:val="24"/>
          <w:szCs w:val="24"/>
        </w:rPr>
        <w:t xml:space="preserve"> CSC-approved Strategic Performance Management System (SPMS);</w:t>
      </w:r>
    </w:p>
    <w:p w:rsidR="007C2D4F" w:rsidRDefault="007C2D4F" w:rsidP="007C2D4F">
      <w:pPr>
        <w:pStyle w:val="NoSpacing"/>
        <w:tabs>
          <w:tab w:val="left" w:pos="720"/>
        </w:tabs>
        <w:ind w:left="360" w:firstLine="360"/>
        <w:jc w:val="both"/>
        <w:rPr>
          <w:rFonts w:ascii="Arial" w:hAnsi="Arial" w:cs="Arial"/>
          <w:sz w:val="24"/>
          <w:szCs w:val="24"/>
        </w:rPr>
      </w:pPr>
    </w:p>
    <w:p w:rsidR="0057441D" w:rsidRDefault="007C2D4F" w:rsidP="007C2D4F">
      <w:pPr>
        <w:pStyle w:val="NoSpacing"/>
        <w:tabs>
          <w:tab w:val="left" w:pos="720"/>
        </w:tabs>
        <w:ind w:left="720" w:hanging="360"/>
        <w:jc w:val="both"/>
        <w:rPr>
          <w:rFonts w:ascii="Arial" w:hAnsi="Arial" w:cs="Arial"/>
          <w:sz w:val="24"/>
          <w:szCs w:val="24"/>
        </w:rPr>
      </w:pPr>
      <w:r>
        <w:rPr>
          <w:rFonts w:ascii="Arial" w:hAnsi="Arial" w:cs="Arial"/>
          <w:sz w:val="24"/>
          <w:szCs w:val="24"/>
        </w:rPr>
        <w:t xml:space="preserve">6.  </w:t>
      </w:r>
      <w:r w:rsidR="006852C9">
        <w:rPr>
          <w:rFonts w:ascii="Arial" w:hAnsi="Arial" w:cs="Arial"/>
          <w:sz w:val="24"/>
          <w:szCs w:val="24"/>
        </w:rPr>
        <w:t>Third Level officials should receive a rating of at least "Satisfactory" under the CESPES.  CESPES covers all incumbents of CES positions in various agencies of the national government including GOCCs with original charters, for an uninterrupted period of at least three (3) months.  Payment of the PBB to Third Level officials shall be contingent on the release</w:t>
      </w:r>
      <w:r w:rsidR="007541C0">
        <w:rPr>
          <w:rFonts w:ascii="Arial" w:hAnsi="Arial" w:cs="Arial"/>
          <w:sz w:val="24"/>
          <w:szCs w:val="24"/>
        </w:rPr>
        <w:t xml:space="preserve"> of results of the CESPES;</w:t>
      </w:r>
    </w:p>
    <w:p w:rsidR="007C2D4F" w:rsidRDefault="007C2D4F" w:rsidP="007C2D4F">
      <w:pPr>
        <w:pStyle w:val="NoSpacing"/>
        <w:tabs>
          <w:tab w:val="left" w:pos="720"/>
        </w:tabs>
        <w:ind w:left="720" w:hanging="360"/>
        <w:jc w:val="both"/>
        <w:rPr>
          <w:rFonts w:ascii="Arial" w:hAnsi="Arial" w:cs="Arial"/>
          <w:sz w:val="24"/>
          <w:szCs w:val="24"/>
        </w:rPr>
      </w:pPr>
    </w:p>
    <w:p w:rsidR="00285C8A" w:rsidRDefault="00285C8A" w:rsidP="00285C8A">
      <w:pPr>
        <w:pStyle w:val="NoSpacing"/>
        <w:ind w:left="720"/>
        <w:jc w:val="both"/>
        <w:rPr>
          <w:rFonts w:ascii="Arial" w:hAnsi="Arial" w:cs="Arial"/>
          <w:sz w:val="24"/>
          <w:szCs w:val="24"/>
        </w:rPr>
      </w:pPr>
    </w:p>
    <w:p w:rsidR="00D51954" w:rsidRDefault="007C2D4F" w:rsidP="007C2D4F">
      <w:pPr>
        <w:pStyle w:val="ListParagraph"/>
        <w:spacing w:after="0" w:line="240" w:lineRule="auto"/>
        <w:ind w:left="360"/>
        <w:jc w:val="both"/>
        <w:rPr>
          <w:rFonts w:ascii="Arial" w:hAnsi="Arial" w:cs="Arial"/>
          <w:sz w:val="24"/>
          <w:szCs w:val="24"/>
        </w:rPr>
      </w:pPr>
      <w:r w:rsidRPr="007C2D4F">
        <w:rPr>
          <w:rFonts w:ascii="Arial" w:hAnsi="Arial" w:cs="Arial"/>
          <w:sz w:val="24"/>
          <w:szCs w:val="24"/>
        </w:rPr>
        <w:t>7.</w:t>
      </w:r>
      <w:r>
        <w:rPr>
          <w:rFonts w:ascii="Arial" w:hAnsi="Arial" w:cs="Arial"/>
          <w:sz w:val="24"/>
          <w:szCs w:val="24"/>
          <w:u w:val="single"/>
        </w:rPr>
        <w:t xml:space="preserve">  </w:t>
      </w:r>
      <w:r w:rsidR="0061043C" w:rsidRPr="0061043C">
        <w:rPr>
          <w:rFonts w:ascii="Arial" w:hAnsi="Arial" w:cs="Arial"/>
          <w:sz w:val="24"/>
          <w:szCs w:val="24"/>
          <w:u w:val="single"/>
        </w:rPr>
        <w:t>Eligibility of Officials Performing Managerial/Executive Functions</w:t>
      </w:r>
      <w:r w:rsidR="0061043C">
        <w:rPr>
          <w:rFonts w:ascii="Arial" w:hAnsi="Arial" w:cs="Arial"/>
          <w:sz w:val="24"/>
          <w:szCs w:val="24"/>
        </w:rPr>
        <w:t>:</w:t>
      </w:r>
    </w:p>
    <w:p w:rsidR="00D51954" w:rsidRDefault="00D51954" w:rsidP="00D51954">
      <w:pPr>
        <w:pStyle w:val="ListParagraph"/>
        <w:spacing w:after="0" w:line="240" w:lineRule="auto"/>
        <w:jc w:val="both"/>
        <w:rPr>
          <w:rFonts w:ascii="Arial" w:hAnsi="Arial" w:cs="Arial"/>
          <w:sz w:val="24"/>
          <w:szCs w:val="24"/>
        </w:rPr>
      </w:pPr>
    </w:p>
    <w:p w:rsidR="00285C8A" w:rsidRDefault="00285C8A" w:rsidP="00D51954">
      <w:pPr>
        <w:pStyle w:val="ListParagraph"/>
        <w:spacing w:after="0" w:line="240" w:lineRule="auto"/>
        <w:jc w:val="both"/>
        <w:rPr>
          <w:rFonts w:ascii="Arial" w:hAnsi="Arial" w:cs="Arial"/>
          <w:sz w:val="24"/>
          <w:szCs w:val="24"/>
        </w:rPr>
      </w:pPr>
      <w:r>
        <w:rPr>
          <w:rFonts w:ascii="Arial" w:hAnsi="Arial" w:cs="Arial"/>
          <w:sz w:val="24"/>
          <w:szCs w:val="24"/>
        </w:rPr>
        <w:t>Other officials performing managerial and executive functions who are not presidential appointees ar</w:t>
      </w:r>
      <w:r w:rsidR="007541C0">
        <w:rPr>
          <w:rFonts w:ascii="Arial" w:hAnsi="Arial" w:cs="Arial"/>
          <w:sz w:val="24"/>
          <w:szCs w:val="24"/>
        </w:rPr>
        <w:t xml:space="preserve">e covered by the DOF’s </w:t>
      </w:r>
      <w:r w:rsidR="00386F40">
        <w:rPr>
          <w:rFonts w:ascii="Arial" w:hAnsi="Arial" w:cs="Arial"/>
          <w:sz w:val="24"/>
          <w:szCs w:val="24"/>
        </w:rPr>
        <w:t xml:space="preserve">CSC-approved </w:t>
      </w:r>
      <w:r w:rsidR="007541C0">
        <w:rPr>
          <w:rFonts w:ascii="Arial" w:hAnsi="Arial" w:cs="Arial"/>
          <w:sz w:val="24"/>
          <w:szCs w:val="24"/>
        </w:rPr>
        <w:t>SPMS</w:t>
      </w:r>
      <w:r>
        <w:rPr>
          <w:rFonts w:ascii="Arial" w:hAnsi="Arial" w:cs="Arial"/>
          <w:sz w:val="24"/>
          <w:szCs w:val="24"/>
        </w:rPr>
        <w:t xml:space="preserve"> and should receive a rating of at least “Satisfactory”;</w:t>
      </w:r>
    </w:p>
    <w:p w:rsidR="00285C8A" w:rsidRDefault="00285C8A" w:rsidP="00285C8A">
      <w:pPr>
        <w:pStyle w:val="ListParagraph"/>
        <w:spacing w:after="0" w:line="240" w:lineRule="auto"/>
        <w:jc w:val="both"/>
        <w:rPr>
          <w:rFonts w:ascii="Arial" w:hAnsi="Arial" w:cs="Arial"/>
          <w:sz w:val="24"/>
          <w:szCs w:val="24"/>
        </w:rPr>
      </w:pPr>
    </w:p>
    <w:p w:rsidR="007C2D4F" w:rsidRDefault="007C2D4F" w:rsidP="00285C8A">
      <w:pPr>
        <w:pStyle w:val="ListParagraph"/>
        <w:spacing w:after="0" w:line="240" w:lineRule="auto"/>
        <w:jc w:val="both"/>
        <w:rPr>
          <w:rFonts w:ascii="Arial" w:hAnsi="Arial" w:cs="Arial"/>
          <w:sz w:val="24"/>
          <w:szCs w:val="24"/>
        </w:rPr>
      </w:pPr>
    </w:p>
    <w:p w:rsidR="007C2D4F" w:rsidRDefault="007C2D4F" w:rsidP="00285C8A">
      <w:pPr>
        <w:pStyle w:val="ListParagraph"/>
        <w:spacing w:after="0" w:line="240" w:lineRule="auto"/>
        <w:jc w:val="both"/>
        <w:rPr>
          <w:rFonts w:ascii="Arial" w:hAnsi="Arial" w:cs="Arial"/>
          <w:sz w:val="24"/>
          <w:szCs w:val="24"/>
        </w:rPr>
      </w:pPr>
    </w:p>
    <w:p w:rsidR="007C2D4F" w:rsidRDefault="007C2D4F" w:rsidP="00285C8A">
      <w:pPr>
        <w:pStyle w:val="ListParagraph"/>
        <w:spacing w:after="0" w:line="240" w:lineRule="auto"/>
        <w:jc w:val="both"/>
        <w:rPr>
          <w:rFonts w:ascii="Arial" w:hAnsi="Arial" w:cs="Arial"/>
          <w:sz w:val="24"/>
          <w:szCs w:val="24"/>
        </w:rPr>
      </w:pPr>
    </w:p>
    <w:p w:rsidR="0061043C" w:rsidRPr="0061043C" w:rsidRDefault="007C2D4F" w:rsidP="007C2D4F">
      <w:pPr>
        <w:pStyle w:val="ListParagraph"/>
        <w:spacing w:after="0" w:line="240" w:lineRule="auto"/>
        <w:ind w:left="360"/>
        <w:jc w:val="both"/>
        <w:rPr>
          <w:rFonts w:ascii="Arial" w:hAnsi="Arial" w:cs="Arial"/>
          <w:sz w:val="24"/>
          <w:szCs w:val="24"/>
          <w:u w:val="single"/>
        </w:rPr>
      </w:pPr>
      <w:r w:rsidRPr="007C2D4F">
        <w:rPr>
          <w:rFonts w:ascii="Arial" w:hAnsi="Arial" w:cs="Arial"/>
          <w:sz w:val="24"/>
          <w:szCs w:val="24"/>
        </w:rPr>
        <w:t>8.</w:t>
      </w:r>
      <w:r>
        <w:rPr>
          <w:rFonts w:ascii="Arial" w:hAnsi="Arial" w:cs="Arial"/>
          <w:sz w:val="24"/>
          <w:szCs w:val="24"/>
          <w:u w:val="single"/>
        </w:rPr>
        <w:t xml:space="preserve">  </w:t>
      </w:r>
      <w:r w:rsidR="0061043C" w:rsidRPr="0061043C">
        <w:rPr>
          <w:rFonts w:ascii="Arial" w:hAnsi="Arial" w:cs="Arial"/>
          <w:sz w:val="24"/>
          <w:szCs w:val="24"/>
          <w:u w:val="single"/>
        </w:rPr>
        <w:t>Eligibility of Personnel on Detail:</w:t>
      </w:r>
    </w:p>
    <w:p w:rsidR="0061043C" w:rsidRDefault="0061043C" w:rsidP="0061043C">
      <w:pPr>
        <w:pStyle w:val="ListParagraph"/>
        <w:spacing w:after="0" w:line="240" w:lineRule="auto"/>
        <w:jc w:val="both"/>
        <w:rPr>
          <w:rFonts w:ascii="Arial" w:hAnsi="Arial" w:cs="Arial"/>
          <w:sz w:val="24"/>
          <w:szCs w:val="24"/>
        </w:rPr>
      </w:pPr>
    </w:p>
    <w:p w:rsidR="00285C8A" w:rsidRDefault="00285C8A" w:rsidP="0061043C">
      <w:pPr>
        <w:pStyle w:val="ListParagraph"/>
        <w:spacing w:after="0" w:line="240" w:lineRule="auto"/>
        <w:jc w:val="both"/>
        <w:rPr>
          <w:rFonts w:ascii="Arial" w:hAnsi="Arial" w:cs="Arial"/>
          <w:sz w:val="24"/>
          <w:szCs w:val="24"/>
        </w:rPr>
      </w:pPr>
      <w:r w:rsidRPr="00285C8A">
        <w:rPr>
          <w:rFonts w:ascii="Arial" w:hAnsi="Arial" w:cs="Arial"/>
          <w:sz w:val="24"/>
          <w:szCs w:val="24"/>
        </w:rPr>
        <w:t>Personnel</w:t>
      </w:r>
      <w:r>
        <w:rPr>
          <w:rFonts w:ascii="Arial" w:hAnsi="Arial" w:cs="Arial"/>
          <w:sz w:val="24"/>
          <w:szCs w:val="24"/>
        </w:rPr>
        <w:t xml:space="preserve"> on detail</w:t>
      </w:r>
      <w:r w:rsidRPr="00285C8A">
        <w:rPr>
          <w:rFonts w:ascii="Arial" w:hAnsi="Arial" w:cs="Arial"/>
          <w:sz w:val="24"/>
          <w:szCs w:val="24"/>
        </w:rPr>
        <w:t xml:space="preserve"> to another government agency for six (6) months or more shall be included in the ranking of employees in the recipient agency which rated his/her performance.  Payment of the PBB shall come from the mother agency;</w:t>
      </w:r>
    </w:p>
    <w:p w:rsidR="00285C8A" w:rsidRPr="00285C8A" w:rsidRDefault="00285C8A" w:rsidP="00285C8A">
      <w:pPr>
        <w:pStyle w:val="ListParagraph"/>
        <w:spacing w:after="0" w:line="240" w:lineRule="auto"/>
        <w:jc w:val="both"/>
        <w:rPr>
          <w:rFonts w:ascii="Arial" w:hAnsi="Arial" w:cs="Arial"/>
          <w:sz w:val="24"/>
          <w:szCs w:val="24"/>
        </w:rPr>
      </w:pPr>
    </w:p>
    <w:p w:rsidR="0061043C" w:rsidRPr="0061043C" w:rsidRDefault="007C2D4F" w:rsidP="007C2D4F">
      <w:pPr>
        <w:pStyle w:val="ListParagraph"/>
        <w:spacing w:after="0" w:line="240" w:lineRule="auto"/>
        <w:ind w:left="360"/>
        <w:jc w:val="both"/>
        <w:rPr>
          <w:rFonts w:ascii="Arial" w:hAnsi="Arial" w:cs="Arial"/>
          <w:sz w:val="24"/>
          <w:szCs w:val="24"/>
          <w:u w:val="single"/>
        </w:rPr>
      </w:pPr>
      <w:r w:rsidRPr="007C2D4F">
        <w:rPr>
          <w:rFonts w:ascii="Arial" w:hAnsi="Arial" w:cs="Arial"/>
          <w:sz w:val="24"/>
          <w:szCs w:val="24"/>
        </w:rPr>
        <w:t>9.</w:t>
      </w:r>
      <w:r>
        <w:rPr>
          <w:rFonts w:ascii="Arial" w:hAnsi="Arial" w:cs="Arial"/>
          <w:sz w:val="24"/>
          <w:szCs w:val="24"/>
          <w:u w:val="single"/>
        </w:rPr>
        <w:t xml:space="preserve">  </w:t>
      </w:r>
      <w:r w:rsidR="0061043C" w:rsidRPr="0061043C">
        <w:rPr>
          <w:rFonts w:ascii="Arial" w:hAnsi="Arial" w:cs="Arial"/>
          <w:sz w:val="24"/>
          <w:szCs w:val="24"/>
          <w:u w:val="single"/>
        </w:rPr>
        <w:t>Eligibility of Personnel Who Transferred:</w:t>
      </w:r>
    </w:p>
    <w:p w:rsidR="0061043C" w:rsidRDefault="0061043C" w:rsidP="0061043C">
      <w:pPr>
        <w:pStyle w:val="ListParagraph"/>
        <w:spacing w:after="0" w:line="240" w:lineRule="auto"/>
        <w:jc w:val="both"/>
        <w:rPr>
          <w:rFonts w:ascii="Arial" w:hAnsi="Arial" w:cs="Arial"/>
          <w:sz w:val="24"/>
          <w:szCs w:val="24"/>
        </w:rPr>
      </w:pPr>
    </w:p>
    <w:p w:rsidR="00285C8A" w:rsidRPr="0061043C" w:rsidRDefault="00285C8A" w:rsidP="0061043C">
      <w:pPr>
        <w:pStyle w:val="ListParagraph"/>
        <w:spacing w:after="0" w:line="240" w:lineRule="auto"/>
        <w:jc w:val="both"/>
        <w:rPr>
          <w:rFonts w:ascii="Arial" w:hAnsi="Arial" w:cs="Arial"/>
          <w:sz w:val="24"/>
          <w:szCs w:val="24"/>
        </w:rPr>
      </w:pPr>
      <w:r w:rsidRPr="0061043C">
        <w:rPr>
          <w:rFonts w:ascii="Arial" w:hAnsi="Arial" w:cs="Arial"/>
          <w:sz w:val="24"/>
          <w:szCs w:val="24"/>
        </w:rPr>
        <w:t xml:space="preserve">Personnel who are transferred from one government agency to another government agency shall be rated and ranked by the agency where he/she served the longest.  If equal months were served for each agency, he/she will be included in the recipient agency; </w:t>
      </w:r>
    </w:p>
    <w:p w:rsidR="00285C8A" w:rsidRDefault="00285C8A" w:rsidP="00285C8A">
      <w:pPr>
        <w:pStyle w:val="ListParagraph"/>
        <w:spacing w:after="0" w:line="240" w:lineRule="auto"/>
        <w:jc w:val="both"/>
        <w:rPr>
          <w:rFonts w:ascii="Arial" w:hAnsi="Arial" w:cs="Arial"/>
          <w:sz w:val="24"/>
          <w:szCs w:val="24"/>
        </w:rPr>
      </w:pPr>
    </w:p>
    <w:p w:rsidR="0061043C" w:rsidRPr="00285C8A" w:rsidRDefault="0061043C" w:rsidP="00285C8A">
      <w:pPr>
        <w:pStyle w:val="ListParagraph"/>
        <w:spacing w:after="0" w:line="240" w:lineRule="auto"/>
        <w:jc w:val="both"/>
        <w:rPr>
          <w:rFonts w:ascii="Arial" w:hAnsi="Arial" w:cs="Arial"/>
          <w:sz w:val="24"/>
          <w:szCs w:val="24"/>
        </w:rPr>
      </w:pPr>
    </w:p>
    <w:p w:rsidR="0061043C" w:rsidRPr="0061043C" w:rsidRDefault="007C2D4F" w:rsidP="007C2D4F">
      <w:pPr>
        <w:pStyle w:val="ListParagraph"/>
        <w:spacing w:after="0" w:line="240" w:lineRule="auto"/>
        <w:ind w:left="360"/>
        <w:jc w:val="both"/>
        <w:rPr>
          <w:rFonts w:ascii="Arial" w:hAnsi="Arial" w:cs="Arial"/>
          <w:sz w:val="24"/>
          <w:szCs w:val="24"/>
          <w:u w:val="single"/>
        </w:rPr>
      </w:pPr>
      <w:r w:rsidRPr="007C2D4F">
        <w:rPr>
          <w:rFonts w:ascii="Arial" w:hAnsi="Arial" w:cs="Arial"/>
          <w:sz w:val="24"/>
          <w:szCs w:val="24"/>
        </w:rPr>
        <w:t>10.</w:t>
      </w:r>
      <w:r>
        <w:rPr>
          <w:rFonts w:ascii="Arial" w:hAnsi="Arial" w:cs="Arial"/>
          <w:sz w:val="24"/>
          <w:szCs w:val="24"/>
          <w:u w:val="single"/>
        </w:rPr>
        <w:t xml:space="preserve"> </w:t>
      </w:r>
      <w:r w:rsidR="0061043C" w:rsidRPr="0061043C">
        <w:rPr>
          <w:rFonts w:ascii="Arial" w:hAnsi="Arial" w:cs="Arial"/>
          <w:sz w:val="24"/>
          <w:szCs w:val="24"/>
          <w:u w:val="single"/>
        </w:rPr>
        <w:t>Eligibility of Personnel with Less Than 9 Months of Service:</w:t>
      </w:r>
    </w:p>
    <w:p w:rsidR="0061043C" w:rsidRDefault="0061043C" w:rsidP="0061043C">
      <w:pPr>
        <w:pStyle w:val="ListParagraph"/>
        <w:spacing w:after="0" w:line="240" w:lineRule="auto"/>
        <w:jc w:val="both"/>
        <w:rPr>
          <w:rFonts w:ascii="Arial" w:hAnsi="Arial" w:cs="Arial"/>
          <w:sz w:val="24"/>
          <w:szCs w:val="24"/>
        </w:rPr>
      </w:pPr>
    </w:p>
    <w:p w:rsidR="00377DA0" w:rsidRDefault="00377DA0" w:rsidP="0061043C">
      <w:pPr>
        <w:pStyle w:val="ListParagraph"/>
        <w:spacing w:after="0" w:line="240" w:lineRule="auto"/>
        <w:jc w:val="both"/>
        <w:rPr>
          <w:rFonts w:ascii="Arial" w:hAnsi="Arial" w:cs="Arial"/>
          <w:sz w:val="24"/>
          <w:szCs w:val="24"/>
        </w:rPr>
      </w:pPr>
      <w:r w:rsidRPr="00377DA0">
        <w:rPr>
          <w:rFonts w:ascii="Arial" w:hAnsi="Arial" w:cs="Arial"/>
          <w:sz w:val="24"/>
          <w:szCs w:val="24"/>
        </w:rPr>
        <w:t>An official or employee who rendered less than nine (9) months but   a minimum of three (3) months of service and with at least Satisfactory rating shall be eligible to the grant of PBB on a pro-rata basis corresponding to the actual length of service rendered, as follows:</w:t>
      </w:r>
    </w:p>
    <w:p w:rsidR="00377DA0" w:rsidRDefault="00377DA0" w:rsidP="00377DA0">
      <w:pPr>
        <w:pStyle w:val="ListParagraph"/>
        <w:spacing w:after="0" w:line="240" w:lineRule="auto"/>
        <w:jc w:val="both"/>
        <w:rPr>
          <w:rFonts w:ascii="Arial" w:hAnsi="Arial" w:cs="Arial"/>
          <w:sz w:val="24"/>
          <w:szCs w:val="24"/>
        </w:rPr>
      </w:pPr>
    </w:p>
    <w:tbl>
      <w:tblPr>
        <w:tblStyle w:val="TableGrid"/>
        <w:tblW w:w="0" w:type="auto"/>
        <w:tblInd w:w="1458" w:type="dxa"/>
        <w:tblLook w:val="04A0"/>
      </w:tblPr>
      <w:tblGrid>
        <w:gridCol w:w="4230"/>
        <w:gridCol w:w="2520"/>
      </w:tblGrid>
      <w:tr w:rsidR="00377DA0" w:rsidTr="00377DA0">
        <w:tc>
          <w:tcPr>
            <w:tcW w:w="4230" w:type="dxa"/>
          </w:tcPr>
          <w:p w:rsidR="00377DA0" w:rsidRDefault="00377DA0" w:rsidP="00377DA0">
            <w:pPr>
              <w:jc w:val="center"/>
              <w:rPr>
                <w:rFonts w:ascii="Arial" w:hAnsi="Arial" w:cs="Arial"/>
                <w:sz w:val="24"/>
                <w:szCs w:val="24"/>
              </w:rPr>
            </w:pPr>
            <w:r>
              <w:rPr>
                <w:rFonts w:ascii="Arial" w:hAnsi="Arial" w:cs="Arial"/>
                <w:sz w:val="24"/>
                <w:szCs w:val="24"/>
              </w:rPr>
              <w:t>Length of Service</w:t>
            </w:r>
          </w:p>
        </w:tc>
        <w:tc>
          <w:tcPr>
            <w:tcW w:w="2520" w:type="dxa"/>
          </w:tcPr>
          <w:p w:rsidR="00377DA0" w:rsidRDefault="00377DA0" w:rsidP="00377DA0">
            <w:pPr>
              <w:jc w:val="center"/>
              <w:rPr>
                <w:rFonts w:ascii="Arial" w:hAnsi="Arial" w:cs="Arial"/>
                <w:sz w:val="24"/>
                <w:szCs w:val="24"/>
              </w:rPr>
            </w:pPr>
            <w:r>
              <w:rPr>
                <w:rFonts w:ascii="Arial" w:hAnsi="Arial" w:cs="Arial"/>
                <w:sz w:val="24"/>
                <w:szCs w:val="24"/>
              </w:rPr>
              <w:t>% of PBB</w:t>
            </w:r>
          </w:p>
        </w:tc>
      </w:tr>
      <w:tr w:rsidR="00377DA0" w:rsidTr="00377DA0">
        <w:tc>
          <w:tcPr>
            <w:tcW w:w="4230" w:type="dxa"/>
          </w:tcPr>
          <w:p w:rsidR="00377DA0" w:rsidRDefault="00377DA0" w:rsidP="00377DA0">
            <w:pPr>
              <w:jc w:val="both"/>
              <w:rPr>
                <w:rFonts w:ascii="Arial" w:hAnsi="Arial" w:cs="Arial"/>
                <w:sz w:val="24"/>
                <w:szCs w:val="24"/>
              </w:rPr>
            </w:pPr>
            <w:r>
              <w:rPr>
                <w:rFonts w:ascii="Arial" w:hAnsi="Arial" w:cs="Arial"/>
                <w:sz w:val="24"/>
                <w:szCs w:val="24"/>
              </w:rPr>
              <w:t>8 mos. but less than 9 mos.</w:t>
            </w:r>
          </w:p>
        </w:tc>
        <w:tc>
          <w:tcPr>
            <w:tcW w:w="2520" w:type="dxa"/>
          </w:tcPr>
          <w:p w:rsidR="00377DA0" w:rsidRDefault="00377DA0" w:rsidP="00377DA0">
            <w:pPr>
              <w:jc w:val="center"/>
              <w:rPr>
                <w:rFonts w:ascii="Arial" w:hAnsi="Arial" w:cs="Arial"/>
                <w:sz w:val="24"/>
                <w:szCs w:val="24"/>
              </w:rPr>
            </w:pPr>
            <w:r>
              <w:rPr>
                <w:rFonts w:ascii="Arial" w:hAnsi="Arial" w:cs="Arial"/>
                <w:sz w:val="24"/>
                <w:szCs w:val="24"/>
              </w:rPr>
              <w:t>90%</w:t>
            </w:r>
          </w:p>
        </w:tc>
      </w:tr>
      <w:tr w:rsidR="00377DA0" w:rsidTr="00377DA0">
        <w:tc>
          <w:tcPr>
            <w:tcW w:w="4230" w:type="dxa"/>
          </w:tcPr>
          <w:p w:rsidR="00377DA0" w:rsidRDefault="00377DA0" w:rsidP="00377DA0">
            <w:pPr>
              <w:jc w:val="both"/>
              <w:rPr>
                <w:rFonts w:ascii="Arial" w:hAnsi="Arial" w:cs="Arial"/>
                <w:sz w:val="24"/>
                <w:szCs w:val="24"/>
              </w:rPr>
            </w:pPr>
            <w:r>
              <w:rPr>
                <w:rFonts w:ascii="Arial" w:hAnsi="Arial" w:cs="Arial"/>
                <w:sz w:val="24"/>
                <w:szCs w:val="24"/>
              </w:rPr>
              <w:t>7 mos. but less than 8 mos.</w:t>
            </w:r>
          </w:p>
        </w:tc>
        <w:tc>
          <w:tcPr>
            <w:tcW w:w="2520" w:type="dxa"/>
          </w:tcPr>
          <w:p w:rsidR="00377DA0" w:rsidRDefault="00377DA0" w:rsidP="00377DA0">
            <w:pPr>
              <w:jc w:val="center"/>
              <w:rPr>
                <w:rFonts w:ascii="Arial" w:hAnsi="Arial" w:cs="Arial"/>
                <w:sz w:val="24"/>
                <w:szCs w:val="24"/>
              </w:rPr>
            </w:pPr>
            <w:r>
              <w:rPr>
                <w:rFonts w:ascii="Arial" w:hAnsi="Arial" w:cs="Arial"/>
                <w:sz w:val="24"/>
                <w:szCs w:val="24"/>
              </w:rPr>
              <w:t>80%</w:t>
            </w:r>
          </w:p>
        </w:tc>
      </w:tr>
      <w:tr w:rsidR="00377DA0" w:rsidTr="00377DA0">
        <w:tc>
          <w:tcPr>
            <w:tcW w:w="4230" w:type="dxa"/>
          </w:tcPr>
          <w:p w:rsidR="00377DA0" w:rsidRDefault="00377DA0" w:rsidP="00377DA0">
            <w:pPr>
              <w:jc w:val="both"/>
              <w:rPr>
                <w:rFonts w:ascii="Arial" w:hAnsi="Arial" w:cs="Arial"/>
                <w:sz w:val="24"/>
                <w:szCs w:val="24"/>
              </w:rPr>
            </w:pPr>
            <w:r>
              <w:rPr>
                <w:rFonts w:ascii="Arial" w:hAnsi="Arial" w:cs="Arial"/>
                <w:sz w:val="24"/>
                <w:szCs w:val="24"/>
              </w:rPr>
              <w:t>6 mos. but less than 7 mos.</w:t>
            </w:r>
          </w:p>
        </w:tc>
        <w:tc>
          <w:tcPr>
            <w:tcW w:w="2520" w:type="dxa"/>
          </w:tcPr>
          <w:p w:rsidR="00377DA0" w:rsidRDefault="00377DA0" w:rsidP="00377DA0">
            <w:pPr>
              <w:jc w:val="center"/>
              <w:rPr>
                <w:rFonts w:ascii="Arial" w:hAnsi="Arial" w:cs="Arial"/>
                <w:sz w:val="24"/>
                <w:szCs w:val="24"/>
              </w:rPr>
            </w:pPr>
            <w:r>
              <w:rPr>
                <w:rFonts w:ascii="Arial" w:hAnsi="Arial" w:cs="Arial"/>
                <w:sz w:val="24"/>
                <w:szCs w:val="24"/>
              </w:rPr>
              <w:t>70%</w:t>
            </w:r>
          </w:p>
        </w:tc>
      </w:tr>
      <w:tr w:rsidR="00377DA0" w:rsidTr="00377DA0">
        <w:tc>
          <w:tcPr>
            <w:tcW w:w="4230" w:type="dxa"/>
          </w:tcPr>
          <w:p w:rsidR="00377DA0" w:rsidRDefault="00377DA0" w:rsidP="00377DA0">
            <w:pPr>
              <w:jc w:val="both"/>
              <w:rPr>
                <w:rFonts w:ascii="Arial" w:hAnsi="Arial" w:cs="Arial"/>
                <w:sz w:val="24"/>
                <w:szCs w:val="24"/>
              </w:rPr>
            </w:pPr>
            <w:r>
              <w:rPr>
                <w:rFonts w:ascii="Arial" w:hAnsi="Arial" w:cs="Arial"/>
                <w:sz w:val="24"/>
                <w:szCs w:val="24"/>
              </w:rPr>
              <w:t>5 mos. but less than 6 mos.</w:t>
            </w:r>
          </w:p>
        </w:tc>
        <w:tc>
          <w:tcPr>
            <w:tcW w:w="2520" w:type="dxa"/>
          </w:tcPr>
          <w:p w:rsidR="00377DA0" w:rsidRDefault="00377DA0" w:rsidP="00377DA0">
            <w:pPr>
              <w:jc w:val="center"/>
              <w:rPr>
                <w:rFonts w:ascii="Arial" w:hAnsi="Arial" w:cs="Arial"/>
                <w:sz w:val="24"/>
                <w:szCs w:val="24"/>
              </w:rPr>
            </w:pPr>
            <w:r>
              <w:rPr>
                <w:rFonts w:ascii="Arial" w:hAnsi="Arial" w:cs="Arial"/>
                <w:sz w:val="24"/>
                <w:szCs w:val="24"/>
              </w:rPr>
              <w:t>60%</w:t>
            </w:r>
          </w:p>
        </w:tc>
      </w:tr>
      <w:tr w:rsidR="00377DA0" w:rsidTr="00377DA0">
        <w:tc>
          <w:tcPr>
            <w:tcW w:w="4230" w:type="dxa"/>
          </w:tcPr>
          <w:p w:rsidR="00377DA0" w:rsidRDefault="00377DA0" w:rsidP="00377DA0">
            <w:pPr>
              <w:jc w:val="both"/>
              <w:rPr>
                <w:rFonts w:ascii="Arial" w:hAnsi="Arial" w:cs="Arial"/>
                <w:sz w:val="24"/>
                <w:szCs w:val="24"/>
              </w:rPr>
            </w:pPr>
            <w:r>
              <w:rPr>
                <w:rFonts w:ascii="Arial" w:hAnsi="Arial" w:cs="Arial"/>
                <w:sz w:val="24"/>
                <w:szCs w:val="24"/>
              </w:rPr>
              <w:t>4 mos. but less than 5 mos.</w:t>
            </w:r>
          </w:p>
        </w:tc>
        <w:tc>
          <w:tcPr>
            <w:tcW w:w="2520" w:type="dxa"/>
          </w:tcPr>
          <w:p w:rsidR="00377DA0" w:rsidRDefault="00377DA0" w:rsidP="00377DA0">
            <w:pPr>
              <w:jc w:val="center"/>
              <w:rPr>
                <w:rFonts w:ascii="Arial" w:hAnsi="Arial" w:cs="Arial"/>
                <w:sz w:val="24"/>
                <w:szCs w:val="24"/>
              </w:rPr>
            </w:pPr>
            <w:r>
              <w:rPr>
                <w:rFonts w:ascii="Arial" w:hAnsi="Arial" w:cs="Arial"/>
                <w:sz w:val="24"/>
                <w:szCs w:val="24"/>
              </w:rPr>
              <w:t>50%</w:t>
            </w:r>
          </w:p>
        </w:tc>
      </w:tr>
      <w:tr w:rsidR="00377DA0" w:rsidTr="00377DA0">
        <w:tc>
          <w:tcPr>
            <w:tcW w:w="4230" w:type="dxa"/>
          </w:tcPr>
          <w:p w:rsidR="00377DA0" w:rsidRDefault="00377DA0" w:rsidP="00377DA0">
            <w:pPr>
              <w:jc w:val="both"/>
              <w:rPr>
                <w:rFonts w:ascii="Arial" w:hAnsi="Arial" w:cs="Arial"/>
                <w:sz w:val="24"/>
                <w:szCs w:val="24"/>
              </w:rPr>
            </w:pPr>
            <w:r>
              <w:rPr>
                <w:rFonts w:ascii="Arial" w:hAnsi="Arial" w:cs="Arial"/>
                <w:sz w:val="24"/>
                <w:szCs w:val="24"/>
              </w:rPr>
              <w:t>3 mos. but less than 4 mos.</w:t>
            </w:r>
          </w:p>
        </w:tc>
        <w:tc>
          <w:tcPr>
            <w:tcW w:w="2520" w:type="dxa"/>
          </w:tcPr>
          <w:p w:rsidR="00377DA0" w:rsidRDefault="00377DA0" w:rsidP="00377DA0">
            <w:pPr>
              <w:jc w:val="center"/>
              <w:rPr>
                <w:rFonts w:ascii="Arial" w:hAnsi="Arial" w:cs="Arial"/>
                <w:sz w:val="24"/>
                <w:szCs w:val="24"/>
              </w:rPr>
            </w:pPr>
            <w:r>
              <w:rPr>
                <w:rFonts w:ascii="Arial" w:hAnsi="Arial" w:cs="Arial"/>
                <w:sz w:val="24"/>
                <w:szCs w:val="24"/>
              </w:rPr>
              <w:t>40%</w:t>
            </w:r>
          </w:p>
        </w:tc>
      </w:tr>
    </w:tbl>
    <w:p w:rsidR="00377DA0" w:rsidRDefault="00377DA0" w:rsidP="00377DA0">
      <w:pPr>
        <w:pStyle w:val="ListParagraph"/>
        <w:spacing w:after="0" w:line="240" w:lineRule="auto"/>
        <w:jc w:val="both"/>
        <w:rPr>
          <w:rFonts w:ascii="Arial" w:hAnsi="Arial" w:cs="Arial"/>
          <w:sz w:val="24"/>
          <w:szCs w:val="24"/>
        </w:rPr>
      </w:pPr>
    </w:p>
    <w:p w:rsidR="0002473B" w:rsidRDefault="0002473B" w:rsidP="00377DA0">
      <w:pPr>
        <w:pStyle w:val="ListParagraph"/>
        <w:spacing w:after="0" w:line="240" w:lineRule="auto"/>
        <w:jc w:val="both"/>
        <w:rPr>
          <w:rFonts w:ascii="Arial" w:hAnsi="Arial" w:cs="Arial"/>
          <w:sz w:val="24"/>
          <w:szCs w:val="24"/>
        </w:rPr>
      </w:pPr>
    </w:p>
    <w:p w:rsidR="0002473B" w:rsidRDefault="0002473B" w:rsidP="00377DA0">
      <w:pPr>
        <w:pStyle w:val="ListParagraph"/>
        <w:spacing w:after="0" w:line="240" w:lineRule="auto"/>
        <w:jc w:val="both"/>
        <w:rPr>
          <w:rFonts w:ascii="Arial" w:hAnsi="Arial" w:cs="Arial"/>
          <w:sz w:val="24"/>
          <w:szCs w:val="24"/>
        </w:rPr>
      </w:pPr>
    </w:p>
    <w:p w:rsidR="00377DA0" w:rsidRDefault="00377DA0" w:rsidP="00377DA0">
      <w:pPr>
        <w:pStyle w:val="ListParagraph"/>
        <w:spacing w:after="0" w:line="240" w:lineRule="auto"/>
        <w:jc w:val="both"/>
        <w:rPr>
          <w:rFonts w:ascii="Arial" w:hAnsi="Arial" w:cs="Arial"/>
          <w:sz w:val="24"/>
          <w:szCs w:val="24"/>
        </w:rPr>
      </w:pPr>
      <w:r>
        <w:rPr>
          <w:rFonts w:ascii="Arial" w:hAnsi="Arial" w:cs="Arial"/>
          <w:sz w:val="24"/>
          <w:szCs w:val="24"/>
        </w:rPr>
        <w:t>The following are the valid reasons for an employee who may not meet the nine-month actual service requirement to be considered for PBB on a pro-rata basis:</w:t>
      </w:r>
    </w:p>
    <w:p w:rsidR="00377DA0" w:rsidRDefault="00377DA0" w:rsidP="00377DA0">
      <w:pPr>
        <w:pStyle w:val="ListParagraph"/>
        <w:spacing w:after="0" w:line="240" w:lineRule="auto"/>
        <w:jc w:val="both"/>
        <w:rPr>
          <w:rFonts w:ascii="Arial" w:hAnsi="Arial" w:cs="Arial"/>
          <w:sz w:val="24"/>
          <w:szCs w:val="24"/>
        </w:rPr>
      </w:pP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newly hired employee</w:t>
      </w: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retirement</w:t>
      </w: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t>resignation</w:t>
      </w: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t>rehabilitation leave</w:t>
      </w: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Pr>
          <w:rFonts w:ascii="Arial" w:hAnsi="Arial" w:cs="Arial"/>
          <w:sz w:val="24"/>
          <w:szCs w:val="24"/>
        </w:rPr>
        <w:tab/>
        <w:t>maternity leave and/or paternity leave</w:t>
      </w: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w:t>
      </w:r>
      <w:r>
        <w:rPr>
          <w:rFonts w:ascii="Arial" w:hAnsi="Arial" w:cs="Arial"/>
          <w:sz w:val="24"/>
          <w:szCs w:val="24"/>
        </w:rPr>
        <w:tab/>
        <w:t>vacation or sick leave with or without pay</w:t>
      </w: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w:t>
      </w:r>
      <w:r>
        <w:rPr>
          <w:rFonts w:ascii="Arial" w:hAnsi="Arial" w:cs="Arial"/>
          <w:sz w:val="24"/>
          <w:szCs w:val="24"/>
        </w:rPr>
        <w:tab/>
        <w:t>scholarship/study leave</w:t>
      </w:r>
    </w:p>
    <w:p w:rsidR="00377DA0" w:rsidRDefault="00377DA0" w:rsidP="00377DA0">
      <w:pPr>
        <w:spacing w:after="0" w:line="240" w:lineRule="auto"/>
        <w:ind w:left="720"/>
        <w:jc w:val="both"/>
        <w:rPr>
          <w:rFonts w:ascii="Arial" w:hAnsi="Arial" w:cs="Arial"/>
          <w:sz w:val="24"/>
          <w:szCs w:val="24"/>
        </w:rPr>
      </w:pPr>
      <w:proofErr w:type="gramStart"/>
      <w:r>
        <w:rPr>
          <w:rFonts w:ascii="Arial" w:hAnsi="Arial" w:cs="Arial"/>
          <w:sz w:val="24"/>
          <w:szCs w:val="24"/>
        </w:rPr>
        <w:t>h</w:t>
      </w:r>
      <w:proofErr w:type="gramEnd"/>
      <w:r>
        <w:rPr>
          <w:rFonts w:ascii="Arial" w:hAnsi="Arial" w:cs="Arial"/>
          <w:sz w:val="24"/>
          <w:szCs w:val="24"/>
        </w:rPr>
        <w:t>.</w:t>
      </w:r>
      <w:r>
        <w:rPr>
          <w:rFonts w:ascii="Arial" w:hAnsi="Arial" w:cs="Arial"/>
          <w:sz w:val="24"/>
          <w:szCs w:val="24"/>
        </w:rPr>
        <w:tab/>
        <w:t>sabbatical leave</w:t>
      </w:r>
    </w:p>
    <w:p w:rsidR="00377DA0" w:rsidRDefault="00377DA0" w:rsidP="00377DA0">
      <w:pPr>
        <w:spacing w:after="0" w:line="240" w:lineRule="auto"/>
        <w:ind w:left="720"/>
        <w:jc w:val="both"/>
        <w:rPr>
          <w:rFonts w:ascii="Arial" w:hAnsi="Arial" w:cs="Arial"/>
          <w:sz w:val="24"/>
          <w:szCs w:val="24"/>
        </w:rPr>
      </w:pPr>
    </w:p>
    <w:p w:rsidR="0002473B" w:rsidRDefault="0002473B" w:rsidP="00377DA0">
      <w:pPr>
        <w:spacing w:after="0" w:line="240" w:lineRule="auto"/>
        <w:ind w:left="720"/>
        <w:jc w:val="both"/>
        <w:rPr>
          <w:rFonts w:ascii="Arial" w:hAnsi="Arial" w:cs="Arial"/>
          <w:sz w:val="24"/>
          <w:szCs w:val="24"/>
        </w:rPr>
      </w:pPr>
    </w:p>
    <w:p w:rsidR="0061043C" w:rsidRDefault="0061043C" w:rsidP="00377DA0">
      <w:pPr>
        <w:spacing w:after="0" w:line="240" w:lineRule="auto"/>
        <w:ind w:left="720"/>
        <w:jc w:val="both"/>
        <w:rPr>
          <w:rFonts w:ascii="Arial" w:hAnsi="Arial" w:cs="Arial"/>
          <w:sz w:val="24"/>
          <w:szCs w:val="24"/>
        </w:rPr>
      </w:pPr>
    </w:p>
    <w:p w:rsidR="0061043C" w:rsidRPr="0061043C" w:rsidRDefault="007C2D4F" w:rsidP="007C2D4F">
      <w:pPr>
        <w:pStyle w:val="ListParagraph"/>
        <w:spacing w:after="0" w:line="240" w:lineRule="auto"/>
        <w:ind w:left="450"/>
        <w:jc w:val="both"/>
        <w:rPr>
          <w:rFonts w:ascii="Arial" w:hAnsi="Arial" w:cs="Arial"/>
          <w:sz w:val="24"/>
          <w:szCs w:val="24"/>
          <w:u w:val="single"/>
        </w:rPr>
      </w:pPr>
      <w:r w:rsidRPr="007C2D4F">
        <w:rPr>
          <w:rFonts w:ascii="Arial" w:hAnsi="Arial" w:cs="Arial"/>
          <w:sz w:val="24"/>
          <w:szCs w:val="24"/>
        </w:rPr>
        <w:lastRenderedPageBreak/>
        <w:t>11.</w:t>
      </w:r>
      <w:r>
        <w:rPr>
          <w:rFonts w:ascii="Arial" w:hAnsi="Arial" w:cs="Arial"/>
          <w:sz w:val="24"/>
          <w:szCs w:val="24"/>
          <w:u w:val="single"/>
        </w:rPr>
        <w:t xml:space="preserve"> </w:t>
      </w:r>
      <w:r w:rsidR="0061043C" w:rsidRPr="0061043C">
        <w:rPr>
          <w:rFonts w:ascii="Arial" w:hAnsi="Arial" w:cs="Arial"/>
          <w:sz w:val="24"/>
          <w:szCs w:val="24"/>
          <w:u w:val="single"/>
        </w:rPr>
        <w:t>Ineligibility of Personnel:</w:t>
      </w:r>
    </w:p>
    <w:p w:rsidR="0061043C" w:rsidRDefault="0061043C" w:rsidP="0061043C">
      <w:pPr>
        <w:pStyle w:val="ListParagraph"/>
        <w:spacing w:after="0" w:line="240" w:lineRule="auto"/>
        <w:jc w:val="both"/>
        <w:rPr>
          <w:rFonts w:ascii="Arial" w:hAnsi="Arial" w:cs="Arial"/>
          <w:sz w:val="24"/>
          <w:szCs w:val="24"/>
        </w:rPr>
      </w:pPr>
    </w:p>
    <w:p w:rsidR="006E58DA" w:rsidRDefault="0061043C" w:rsidP="0061043C">
      <w:pPr>
        <w:pStyle w:val="ListParagraph"/>
        <w:spacing w:after="0" w:line="240" w:lineRule="auto"/>
        <w:jc w:val="both"/>
        <w:rPr>
          <w:rFonts w:ascii="Arial" w:hAnsi="Arial" w:cs="Arial"/>
          <w:sz w:val="24"/>
          <w:szCs w:val="24"/>
        </w:rPr>
      </w:pPr>
      <w:proofErr w:type="gramStart"/>
      <w:r>
        <w:rPr>
          <w:rFonts w:ascii="Arial" w:hAnsi="Arial" w:cs="Arial"/>
          <w:sz w:val="24"/>
          <w:szCs w:val="24"/>
        </w:rPr>
        <w:t xml:space="preserve">1.  </w:t>
      </w:r>
      <w:r w:rsidR="006E58DA">
        <w:rPr>
          <w:rFonts w:ascii="Arial" w:hAnsi="Arial" w:cs="Arial"/>
          <w:sz w:val="24"/>
          <w:szCs w:val="24"/>
        </w:rPr>
        <w:t>An employee who is</w:t>
      </w:r>
      <w:r w:rsidR="006E58DA" w:rsidRPr="006E58DA">
        <w:rPr>
          <w:rFonts w:ascii="Arial" w:hAnsi="Arial" w:cs="Arial"/>
          <w:sz w:val="24"/>
          <w:szCs w:val="24"/>
        </w:rPr>
        <w:t xml:space="preserve"> on vacation or sick leave, with or without</w:t>
      </w:r>
      <w:r w:rsidR="006E58DA">
        <w:rPr>
          <w:rFonts w:ascii="Arial" w:hAnsi="Arial" w:cs="Arial"/>
          <w:sz w:val="24"/>
          <w:szCs w:val="24"/>
        </w:rPr>
        <w:t xml:space="preserve"> pay, for the entire year,</w:t>
      </w:r>
      <w:proofErr w:type="gramEnd"/>
      <w:r w:rsidR="006E58DA">
        <w:rPr>
          <w:rFonts w:ascii="Arial" w:hAnsi="Arial" w:cs="Arial"/>
          <w:sz w:val="24"/>
          <w:szCs w:val="24"/>
        </w:rPr>
        <w:t xml:space="preserve"> is not </w:t>
      </w:r>
      <w:r w:rsidR="006E58DA" w:rsidRPr="006E58DA">
        <w:rPr>
          <w:rFonts w:ascii="Arial" w:hAnsi="Arial" w:cs="Arial"/>
          <w:sz w:val="24"/>
          <w:szCs w:val="24"/>
        </w:rPr>
        <w:t>eligible to the grant of the PBB;</w:t>
      </w:r>
    </w:p>
    <w:p w:rsidR="006E58DA" w:rsidRPr="006E58DA" w:rsidRDefault="006E58DA" w:rsidP="006E58DA">
      <w:pPr>
        <w:pStyle w:val="ListParagraph"/>
        <w:spacing w:after="0" w:line="240" w:lineRule="auto"/>
        <w:jc w:val="both"/>
        <w:rPr>
          <w:rFonts w:ascii="Arial" w:hAnsi="Arial" w:cs="Arial"/>
          <w:sz w:val="24"/>
          <w:szCs w:val="24"/>
        </w:rPr>
      </w:pPr>
    </w:p>
    <w:p w:rsidR="006E58DA" w:rsidRDefault="0061043C" w:rsidP="0061043C">
      <w:pPr>
        <w:pStyle w:val="ListParagraph"/>
        <w:spacing w:after="0" w:line="240" w:lineRule="auto"/>
        <w:jc w:val="both"/>
        <w:rPr>
          <w:rFonts w:ascii="Arial" w:hAnsi="Arial" w:cs="Arial"/>
          <w:sz w:val="24"/>
          <w:szCs w:val="24"/>
        </w:rPr>
      </w:pPr>
      <w:r>
        <w:rPr>
          <w:rFonts w:ascii="Arial" w:hAnsi="Arial" w:cs="Arial"/>
          <w:sz w:val="24"/>
          <w:szCs w:val="24"/>
        </w:rPr>
        <w:t xml:space="preserve">2.  </w:t>
      </w:r>
      <w:r w:rsidR="006E58DA" w:rsidRPr="006E58DA">
        <w:rPr>
          <w:rFonts w:ascii="Arial" w:hAnsi="Arial" w:cs="Arial"/>
          <w:sz w:val="24"/>
          <w:szCs w:val="24"/>
        </w:rPr>
        <w:t xml:space="preserve">Personnel found guilty of administrative and/or criminal cases in FY 2016 by formal and </w:t>
      </w:r>
      <w:proofErr w:type="spellStart"/>
      <w:r w:rsidR="006E58DA" w:rsidRPr="006E58DA">
        <w:rPr>
          <w:rFonts w:ascii="Arial" w:hAnsi="Arial" w:cs="Arial"/>
          <w:sz w:val="24"/>
          <w:szCs w:val="24"/>
        </w:rPr>
        <w:t>executory</w:t>
      </w:r>
      <w:proofErr w:type="spellEnd"/>
      <w:r w:rsidR="006E58DA" w:rsidRPr="006E58DA">
        <w:rPr>
          <w:rFonts w:ascii="Arial" w:hAnsi="Arial" w:cs="Arial"/>
          <w:sz w:val="24"/>
          <w:szCs w:val="24"/>
        </w:rPr>
        <w:t xml:space="preserve"> </w:t>
      </w:r>
      <w:proofErr w:type="gramStart"/>
      <w:r w:rsidR="006E58DA" w:rsidRPr="006E58DA">
        <w:rPr>
          <w:rFonts w:ascii="Arial" w:hAnsi="Arial" w:cs="Arial"/>
          <w:sz w:val="24"/>
          <w:szCs w:val="24"/>
        </w:rPr>
        <w:t>judgment  shall</w:t>
      </w:r>
      <w:proofErr w:type="gramEnd"/>
      <w:r w:rsidR="006E58DA" w:rsidRPr="006E58DA">
        <w:rPr>
          <w:rFonts w:ascii="Arial" w:hAnsi="Arial" w:cs="Arial"/>
          <w:sz w:val="24"/>
          <w:szCs w:val="24"/>
        </w:rPr>
        <w:t xml:space="preserve"> not be entitled to the PBB.  If the penalty meted out is only a reprimand, such penalty shall not cause </w:t>
      </w:r>
      <w:r w:rsidR="007541C0">
        <w:rPr>
          <w:rFonts w:ascii="Arial" w:hAnsi="Arial" w:cs="Arial"/>
          <w:sz w:val="24"/>
          <w:szCs w:val="24"/>
        </w:rPr>
        <w:t>the disqualification to the PBB;</w:t>
      </w:r>
    </w:p>
    <w:p w:rsidR="006E58DA" w:rsidRPr="006E58DA" w:rsidRDefault="006E58DA" w:rsidP="006E58DA">
      <w:pPr>
        <w:pStyle w:val="ListParagraph"/>
        <w:spacing w:after="0" w:line="240" w:lineRule="auto"/>
        <w:jc w:val="both"/>
        <w:rPr>
          <w:rFonts w:ascii="Arial" w:hAnsi="Arial" w:cs="Arial"/>
          <w:sz w:val="24"/>
          <w:szCs w:val="24"/>
        </w:rPr>
      </w:pPr>
    </w:p>
    <w:p w:rsidR="00377DA0" w:rsidRDefault="0061043C" w:rsidP="0061043C">
      <w:pPr>
        <w:pStyle w:val="ListParagraph"/>
        <w:spacing w:after="0" w:line="240" w:lineRule="auto"/>
        <w:jc w:val="both"/>
        <w:rPr>
          <w:rFonts w:ascii="Arial" w:hAnsi="Arial" w:cs="Arial"/>
          <w:sz w:val="24"/>
          <w:szCs w:val="24"/>
        </w:rPr>
      </w:pPr>
      <w:r>
        <w:rPr>
          <w:rFonts w:ascii="Arial" w:hAnsi="Arial" w:cs="Arial"/>
          <w:sz w:val="24"/>
          <w:szCs w:val="24"/>
        </w:rPr>
        <w:t xml:space="preserve">3. </w:t>
      </w:r>
      <w:r w:rsidR="006E58DA">
        <w:rPr>
          <w:rFonts w:ascii="Arial" w:hAnsi="Arial" w:cs="Arial"/>
          <w:sz w:val="24"/>
          <w:szCs w:val="24"/>
        </w:rPr>
        <w:t>Officials and employees who failed to submit the 2015 SALN as prescribed in the rules provided under CSC Memorandum Circular No. 3, s. 2015 shall not be entitled to the FY 2016 P</w:t>
      </w:r>
      <w:r w:rsidR="007541C0">
        <w:rPr>
          <w:rFonts w:ascii="Arial" w:hAnsi="Arial" w:cs="Arial"/>
          <w:sz w:val="24"/>
          <w:szCs w:val="24"/>
        </w:rPr>
        <w:t>BB;</w:t>
      </w:r>
    </w:p>
    <w:p w:rsidR="006E58DA" w:rsidRDefault="006E58DA" w:rsidP="006E58DA">
      <w:pPr>
        <w:pStyle w:val="ListParagraph"/>
        <w:spacing w:after="0" w:line="240" w:lineRule="auto"/>
        <w:jc w:val="both"/>
        <w:rPr>
          <w:rFonts w:ascii="Arial" w:hAnsi="Arial" w:cs="Arial"/>
          <w:sz w:val="24"/>
          <w:szCs w:val="24"/>
        </w:rPr>
      </w:pPr>
    </w:p>
    <w:p w:rsidR="005F219A" w:rsidRDefault="0061043C" w:rsidP="0061043C">
      <w:pPr>
        <w:pStyle w:val="ListParagraph"/>
        <w:spacing w:after="0" w:line="240" w:lineRule="auto"/>
        <w:jc w:val="both"/>
        <w:rPr>
          <w:rFonts w:ascii="Arial" w:hAnsi="Arial" w:cs="Arial"/>
          <w:sz w:val="24"/>
          <w:szCs w:val="24"/>
        </w:rPr>
      </w:pPr>
      <w:r>
        <w:rPr>
          <w:rFonts w:ascii="Arial" w:hAnsi="Arial" w:cs="Arial"/>
          <w:sz w:val="24"/>
          <w:szCs w:val="24"/>
        </w:rPr>
        <w:t xml:space="preserve">4.  </w:t>
      </w:r>
      <w:r w:rsidR="006E58DA">
        <w:rPr>
          <w:rFonts w:ascii="Arial" w:hAnsi="Arial" w:cs="Arial"/>
          <w:sz w:val="24"/>
          <w:szCs w:val="24"/>
        </w:rPr>
        <w:t xml:space="preserve">Officials and employees who failed to liquidate within the </w:t>
      </w:r>
      <w:proofErr w:type="spellStart"/>
      <w:r w:rsidR="006E58DA">
        <w:rPr>
          <w:rFonts w:ascii="Arial" w:hAnsi="Arial" w:cs="Arial"/>
          <w:sz w:val="24"/>
          <w:szCs w:val="24"/>
        </w:rPr>
        <w:t>reglementary</w:t>
      </w:r>
      <w:proofErr w:type="spellEnd"/>
      <w:r w:rsidR="006E58DA">
        <w:rPr>
          <w:rFonts w:ascii="Arial" w:hAnsi="Arial" w:cs="Arial"/>
          <w:sz w:val="24"/>
          <w:szCs w:val="24"/>
        </w:rPr>
        <w:t xml:space="preserve"> period the Cash Advances received in FY 2016 as required by the COA shall not</w:t>
      </w:r>
      <w:r w:rsidR="007541C0">
        <w:rPr>
          <w:rFonts w:ascii="Arial" w:hAnsi="Arial" w:cs="Arial"/>
          <w:sz w:val="24"/>
          <w:szCs w:val="24"/>
        </w:rPr>
        <w:t xml:space="preserve"> be entitled to the FY 2016 PBB;</w:t>
      </w:r>
    </w:p>
    <w:p w:rsidR="007541C0" w:rsidRDefault="007541C0" w:rsidP="007541C0">
      <w:pPr>
        <w:pStyle w:val="ListParagraph"/>
        <w:spacing w:after="0" w:line="240" w:lineRule="auto"/>
        <w:jc w:val="both"/>
        <w:rPr>
          <w:rFonts w:ascii="Arial" w:hAnsi="Arial" w:cs="Arial"/>
          <w:sz w:val="24"/>
          <w:szCs w:val="24"/>
        </w:rPr>
      </w:pPr>
    </w:p>
    <w:p w:rsidR="0061043C" w:rsidRDefault="0061043C" w:rsidP="007541C0">
      <w:pPr>
        <w:pStyle w:val="ListParagraph"/>
        <w:spacing w:after="0" w:line="240" w:lineRule="auto"/>
        <w:jc w:val="both"/>
        <w:rPr>
          <w:rFonts w:ascii="Arial" w:hAnsi="Arial" w:cs="Arial"/>
          <w:sz w:val="24"/>
          <w:szCs w:val="24"/>
        </w:rPr>
      </w:pPr>
    </w:p>
    <w:p w:rsidR="007541C0" w:rsidRDefault="0061043C" w:rsidP="0061043C">
      <w:pPr>
        <w:pStyle w:val="ListParagraph"/>
        <w:spacing w:after="0" w:line="240" w:lineRule="auto"/>
        <w:jc w:val="both"/>
        <w:rPr>
          <w:rFonts w:ascii="Arial" w:hAnsi="Arial" w:cs="Arial"/>
          <w:sz w:val="24"/>
          <w:szCs w:val="24"/>
        </w:rPr>
      </w:pPr>
      <w:r>
        <w:rPr>
          <w:rFonts w:ascii="Arial" w:hAnsi="Arial" w:cs="Arial"/>
          <w:sz w:val="24"/>
          <w:szCs w:val="24"/>
        </w:rPr>
        <w:t xml:space="preserve">5. </w:t>
      </w:r>
      <w:r w:rsidR="007541C0">
        <w:rPr>
          <w:rFonts w:ascii="Arial" w:hAnsi="Arial" w:cs="Arial"/>
          <w:sz w:val="24"/>
          <w:szCs w:val="24"/>
        </w:rPr>
        <w:t>Officials and employees who failed to submit their complete SPMS Forms shall not be entitled to the FY 2016 PBB.</w:t>
      </w:r>
    </w:p>
    <w:p w:rsidR="006E58DA" w:rsidRDefault="006E58DA" w:rsidP="006E58DA">
      <w:pPr>
        <w:spacing w:after="0" w:line="240" w:lineRule="auto"/>
        <w:jc w:val="both"/>
        <w:rPr>
          <w:rFonts w:ascii="Arial" w:hAnsi="Arial" w:cs="Arial"/>
          <w:sz w:val="24"/>
          <w:szCs w:val="24"/>
        </w:rPr>
      </w:pPr>
    </w:p>
    <w:p w:rsidR="006E58DA" w:rsidRDefault="006433DB" w:rsidP="006E58DA">
      <w:pPr>
        <w:spacing w:after="0" w:line="240" w:lineRule="auto"/>
        <w:jc w:val="both"/>
        <w:rPr>
          <w:rFonts w:ascii="Arial" w:hAnsi="Arial" w:cs="Arial"/>
          <w:sz w:val="24"/>
          <w:szCs w:val="24"/>
        </w:rPr>
      </w:pPr>
      <w:r>
        <w:rPr>
          <w:rFonts w:ascii="Arial" w:hAnsi="Arial" w:cs="Arial"/>
          <w:sz w:val="24"/>
          <w:szCs w:val="24"/>
        </w:rPr>
        <w:t>Cases not covered by the guidelines</w:t>
      </w:r>
      <w:r w:rsidR="00135244">
        <w:rPr>
          <w:rFonts w:ascii="Arial" w:hAnsi="Arial" w:cs="Arial"/>
          <w:sz w:val="24"/>
          <w:szCs w:val="24"/>
        </w:rPr>
        <w:t xml:space="preserve"> shall be referred to the AO 25 Secretariat, Department of Budget and Management, for resolution.</w:t>
      </w:r>
    </w:p>
    <w:p w:rsidR="00135244" w:rsidRDefault="00135244" w:rsidP="006E58DA">
      <w:pPr>
        <w:spacing w:after="0" w:line="240" w:lineRule="auto"/>
        <w:jc w:val="both"/>
        <w:rPr>
          <w:rFonts w:ascii="Arial" w:hAnsi="Arial" w:cs="Arial"/>
          <w:sz w:val="24"/>
          <w:szCs w:val="24"/>
        </w:rPr>
      </w:pPr>
    </w:p>
    <w:p w:rsidR="00135244" w:rsidRDefault="00135244" w:rsidP="006E58DA">
      <w:pPr>
        <w:spacing w:after="0" w:line="240" w:lineRule="auto"/>
        <w:jc w:val="both"/>
        <w:rPr>
          <w:rFonts w:ascii="Arial" w:hAnsi="Arial" w:cs="Arial"/>
          <w:sz w:val="24"/>
          <w:szCs w:val="24"/>
        </w:rPr>
      </w:pPr>
    </w:p>
    <w:p w:rsidR="006E58DA" w:rsidRDefault="006E58DA" w:rsidP="005F219A">
      <w:pPr>
        <w:pStyle w:val="NoSpacing"/>
        <w:rPr>
          <w:rFonts w:ascii="Arial" w:hAnsi="Arial" w:cs="Arial"/>
        </w:rPr>
      </w:pPr>
    </w:p>
    <w:p w:rsidR="006E58DA" w:rsidRDefault="006E58DA" w:rsidP="005F219A">
      <w:pPr>
        <w:pStyle w:val="NoSpacing"/>
        <w:rPr>
          <w:rFonts w:ascii="Arial" w:hAnsi="Arial" w:cs="Arial"/>
        </w:rPr>
      </w:pPr>
    </w:p>
    <w:p w:rsidR="006E58DA" w:rsidRDefault="006E58DA" w:rsidP="005F219A">
      <w:pPr>
        <w:pStyle w:val="NoSpacing"/>
        <w:rPr>
          <w:rFonts w:ascii="Arial" w:hAnsi="Arial" w:cs="Arial"/>
        </w:rPr>
      </w:pPr>
    </w:p>
    <w:p w:rsidR="006E58DA" w:rsidRDefault="006E58DA" w:rsidP="005F219A">
      <w:pPr>
        <w:pStyle w:val="NoSpacing"/>
        <w:rPr>
          <w:rFonts w:ascii="Arial" w:hAnsi="Arial" w:cs="Arial"/>
        </w:rPr>
      </w:pPr>
    </w:p>
    <w:p w:rsidR="006E58DA" w:rsidRDefault="006E58DA" w:rsidP="005F219A">
      <w:pPr>
        <w:pStyle w:val="NoSpacing"/>
        <w:rPr>
          <w:rFonts w:ascii="Arial" w:hAnsi="Arial" w:cs="Arial"/>
        </w:rPr>
      </w:pPr>
    </w:p>
    <w:p w:rsidR="006E58DA" w:rsidRDefault="006E58DA" w:rsidP="005F219A">
      <w:pPr>
        <w:pStyle w:val="NoSpacing"/>
        <w:rPr>
          <w:rFonts w:ascii="Arial" w:hAnsi="Arial" w:cs="Arial"/>
        </w:rPr>
      </w:pPr>
    </w:p>
    <w:p w:rsidR="006E58DA" w:rsidRDefault="006E58DA" w:rsidP="005F219A">
      <w:pPr>
        <w:pStyle w:val="NoSpacing"/>
        <w:rPr>
          <w:rFonts w:ascii="Arial" w:hAnsi="Arial" w:cs="Arial"/>
        </w:rPr>
      </w:pPr>
    </w:p>
    <w:p w:rsidR="0061043C" w:rsidRDefault="0061043C" w:rsidP="005F219A">
      <w:pPr>
        <w:pStyle w:val="NoSpacing"/>
        <w:rPr>
          <w:rFonts w:ascii="Arial" w:hAnsi="Arial" w:cs="Arial"/>
        </w:rPr>
      </w:pPr>
    </w:p>
    <w:p w:rsidR="0061043C" w:rsidRDefault="0061043C" w:rsidP="005F219A">
      <w:pPr>
        <w:pStyle w:val="NoSpacing"/>
        <w:rPr>
          <w:rFonts w:ascii="Arial" w:hAnsi="Arial" w:cs="Arial"/>
        </w:rPr>
      </w:pPr>
    </w:p>
    <w:p w:rsidR="0061043C" w:rsidRDefault="0061043C" w:rsidP="005F219A">
      <w:pPr>
        <w:pStyle w:val="NoSpacing"/>
        <w:rPr>
          <w:rFonts w:ascii="Arial" w:hAnsi="Arial" w:cs="Arial"/>
        </w:rPr>
      </w:pPr>
    </w:p>
    <w:p w:rsidR="0061043C" w:rsidRDefault="0061043C" w:rsidP="005F219A">
      <w:pPr>
        <w:pStyle w:val="NoSpacing"/>
        <w:rPr>
          <w:rFonts w:ascii="Arial" w:hAnsi="Arial" w:cs="Arial"/>
        </w:rPr>
      </w:pPr>
    </w:p>
    <w:p w:rsidR="0061043C" w:rsidRDefault="0061043C" w:rsidP="005F219A">
      <w:pPr>
        <w:pStyle w:val="NoSpacing"/>
        <w:rPr>
          <w:rFonts w:ascii="Arial" w:hAnsi="Arial" w:cs="Arial"/>
        </w:rPr>
      </w:pPr>
    </w:p>
    <w:p w:rsidR="003F571C" w:rsidRDefault="003F571C" w:rsidP="003E2C97">
      <w:pPr>
        <w:pStyle w:val="NoSpacing"/>
      </w:pPr>
    </w:p>
    <w:p w:rsidR="003F571C" w:rsidRDefault="003F571C" w:rsidP="003E2C97">
      <w:pPr>
        <w:pStyle w:val="NoSpacing"/>
      </w:pPr>
    </w:p>
    <w:p w:rsidR="003F571C" w:rsidRDefault="003F571C" w:rsidP="003E2C97">
      <w:pPr>
        <w:pStyle w:val="NoSpacing"/>
      </w:pPr>
    </w:p>
    <w:p w:rsidR="003F571C" w:rsidRDefault="003F571C" w:rsidP="003E2C97">
      <w:pPr>
        <w:pStyle w:val="NoSpacing"/>
      </w:pPr>
    </w:p>
    <w:p w:rsidR="003F571C" w:rsidRDefault="003F571C" w:rsidP="003E2C97">
      <w:pPr>
        <w:pStyle w:val="NoSpacing"/>
      </w:pPr>
    </w:p>
    <w:sectPr w:rsidR="003F571C" w:rsidSect="00A73346">
      <w:pgSz w:w="12240" w:h="15840"/>
      <w:pgMar w:top="1440" w:right="1620" w:bottom="72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190"/>
    <w:multiLevelType w:val="hybridMultilevel"/>
    <w:tmpl w:val="8CBA2030"/>
    <w:lvl w:ilvl="0" w:tplc="97A40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94679"/>
    <w:multiLevelType w:val="hybridMultilevel"/>
    <w:tmpl w:val="6660D302"/>
    <w:lvl w:ilvl="0" w:tplc="5704AE6E">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821733"/>
    <w:multiLevelType w:val="hybridMultilevel"/>
    <w:tmpl w:val="03C4D19A"/>
    <w:lvl w:ilvl="0" w:tplc="78668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37210C"/>
    <w:multiLevelType w:val="hybridMultilevel"/>
    <w:tmpl w:val="36641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64E96"/>
    <w:multiLevelType w:val="hybridMultilevel"/>
    <w:tmpl w:val="AA70F534"/>
    <w:lvl w:ilvl="0" w:tplc="5F1AF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512AE9"/>
    <w:multiLevelType w:val="hybridMultilevel"/>
    <w:tmpl w:val="BA12F6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D1D7215"/>
    <w:multiLevelType w:val="hybridMultilevel"/>
    <w:tmpl w:val="DF3C8D9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7E2F3047"/>
    <w:multiLevelType w:val="hybridMultilevel"/>
    <w:tmpl w:val="7BAA9FCA"/>
    <w:lvl w:ilvl="0" w:tplc="AED0CE6C">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D72"/>
    <w:rsid w:val="0002473B"/>
    <w:rsid w:val="00027817"/>
    <w:rsid w:val="00031346"/>
    <w:rsid w:val="00033720"/>
    <w:rsid w:val="0004241E"/>
    <w:rsid w:val="00043ED7"/>
    <w:rsid w:val="00052DB1"/>
    <w:rsid w:val="000855B8"/>
    <w:rsid w:val="000A4A2B"/>
    <w:rsid w:val="000C4F55"/>
    <w:rsid w:val="000E0704"/>
    <w:rsid w:val="000E3801"/>
    <w:rsid w:val="000E4451"/>
    <w:rsid w:val="000F034D"/>
    <w:rsid w:val="000F2305"/>
    <w:rsid w:val="00135244"/>
    <w:rsid w:val="00152401"/>
    <w:rsid w:val="00184382"/>
    <w:rsid w:val="001D77DA"/>
    <w:rsid w:val="001F4417"/>
    <w:rsid w:val="00205749"/>
    <w:rsid w:val="0021171B"/>
    <w:rsid w:val="00285C8A"/>
    <w:rsid w:val="002B334C"/>
    <w:rsid w:val="002C39B1"/>
    <w:rsid w:val="002E3ED9"/>
    <w:rsid w:val="002F1D48"/>
    <w:rsid w:val="0030343A"/>
    <w:rsid w:val="003075F6"/>
    <w:rsid w:val="003226A3"/>
    <w:rsid w:val="0032769B"/>
    <w:rsid w:val="00344B59"/>
    <w:rsid w:val="00355EF7"/>
    <w:rsid w:val="00377DA0"/>
    <w:rsid w:val="00386F40"/>
    <w:rsid w:val="00393ADD"/>
    <w:rsid w:val="003A3CB1"/>
    <w:rsid w:val="003A410C"/>
    <w:rsid w:val="003C3097"/>
    <w:rsid w:val="003C45D4"/>
    <w:rsid w:val="003E2C97"/>
    <w:rsid w:val="003F571C"/>
    <w:rsid w:val="004679F6"/>
    <w:rsid w:val="004D37C1"/>
    <w:rsid w:val="004F186D"/>
    <w:rsid w:val="004F3E98"/>
    <w:rsid w:val="00501711"/>
    <w:rsid w:val="00501FC5"/>
    <w:rsid w:val="00551B0C"/>
    <w:rsid w:val="00554D72"/>
    <w:rsid w:val="0056781B"/>
    <w:rsid w:val="0057441D"/>
    <w:rsid w:val="00575CD3"/>
    <w:rsid w:val="005D3C0E"/>
    <w:rsid w:val="005E2D1D"/>
    <w:rsid w:val="005F219A"/>
    <w:rsid w:val="005F2F3E"/>
    <w:rsid w:val="005F50D9"/>
    <w:rsid w:val="006065C2"/>
    <w:rsid w:val="00607D68"/>
    <w:rsid w:val="0061043C"/>
    <w:rsid w:val="00617282"/>
    <w:rsid w:val="00627A6D"/>
    <w:rsid w:val="006416A3"/>
    <w:rsid w:val="006433DB"/>
    <w:rsid w:val="006438A2"/>
    <w:rsid w:val="00666CBE"/>
    <w:rsid w:val="006852C9"/>
    <w:rsid w:val="006923D9"/>
    <w:rsid w:val="006B71FC"/>
    <w:rsid w:val="006D2324"/>
    <w:rsid w:val="006E58DA"/>
    <w:rsid w:val="006F52DD"/>
    <w:rsid w:val="007169AE"/>
    <w:rsid w:val="00727F05"/>
    <w:rsid w:val="00732524"/>
    <w:rsid w:val="007541C0"/>
    <w:rsid w:val="007C2D4F"/>
    <w:rsid w:val="008057E9"/>
    <w:rsid w:val="00896F69"/>
    <w:rsid w:val="008A1209"/>
    <w:rsid w:val="008B0A23"/>
    <w:rsid w:val="009419D6"/>
    <w:rsid w:val="0095754F"/>
    <w:rsid w:val="009611F9"/>
    <w:rsid w:val="009E5CF7"/>
    <w:rsid w:val="009F13EB"/>
    <w:rsid w:val="00A20701"/>
    <w:rsid w:val="00A671E4"/>
    <w:rsid w:val="00A73346"/>
    <w:rsid w:val="00A846B2"/>
    <w:rsid w:val="00A84BF7"/>
    <w:rsid w:val="00A91B67"/>
    <w:rsid w:val="00A94DCB"/>
    <w:rsid w:val="00AB7E0F"/>
    <w:rsid w:val="00AC2A92"/>
    <w:rsid w:val="00AF30A1"/>
    <w:rsid w:val="00AF7EF3"/>
    <w:rsid w:val="00B02F54"/>
    <w:rsid w:val="00B27FA8"/>
    <w:rsid w:val="00B40520"/>
    <w:rsid w:val="00B522A4"/>
    <w:rsid w:val="00B67607"/>
    <w:rsid w:val="00B718CA"/>
    <w:rsid w:val="00BA31AE"/>
    <w:rsid w:val="00BD318C"/>
    <w:rsid w:val="00BD6FFB"/>
    <w:rsid w:val="00BE17B0"/>
    <w:rsid w:val="00BF4E90"/>
    <w:rsid w:val="00C14C17"/>
    <w:rsid w:val="00C50E4D"/>
    <w:rsid w:val="00C56E69"/>
    <w:rsid w:val="00C83B40"/>
    <w:rsid w:val="00C94A8E"/>
    <w:rsid w:val="00CC0B98"/>
    <w:rsid w:val="00CC1FD9"/>
    <w:rsid w:val="00CC3B8F"/>
    <w:rsid w:val="00CE5052"/>
    <w:rsid w:val="00CF2ED8"/>
    <w:rsid w:val="00D07E25"/>
    <w:rsid w:val="00D131D4"/>
    <w:rsid w:val="00D27664"/>
    <w:rsid w:val="00D47651"/>
    <w:rsid w:val="00D51954"/>
    <w:rsid w:val="00D53A27"/>
    <w:rsid w:val="00D70B3C"/>
    <w:rsid w:val="00D92C61"/>
    <w:rsid w:val="00DB7486"/>
    <w:rsid w:val="00DC1063"/>
    <w:rsid w:val="00DC2BEC"/>
    <w:rsid w:val="00DC4164"/>
    <w:rsid w:val="00DC705B"/>
    <w:rsid w:val="00DF6267"/>
    <w:rsid w:val="00E11973"/>
    <w:rsid w:val="00E3600A"/>
    <w:rsid w:val="00E372DE"/>
    <w:rsid w:val="00E84E97"/>
    <w:rsid w:val="00EB5C82"/>
    <w:rsid w:val="00EC04C6"/>
    <w:rsid w:val="00EC55CB"/>
    <w:rsid w:val="00ED2D43"/>
    <w:rsid w:val="00ED3F5E"/>
    <w:rsid w:val="00ED5851"/>
    <w:rsid w:val="00EE6496"/>
    <w:rsid w:val="00F4013E"/>
    <w:rsid w:val="00F4678E"/>
    <w:rsid w:val="00F86E23"/>
    <w:rsid w:val="00F91B76"/>
    <w:rsid w:val="00FB59F9"/>
    <w:rsid w:val="00FC2E2D"/>
    <w:rsid w:val="00FF216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72"/>
    <w:pPr>
      <w:ind w:left="720"/>
      <w:contextualSpacing/>
    </w:pPr>
  </w:style>
  <w:style w:type="paragraph" w:styleId="NoSpacing">
    <w:name w:val="No Spacing"/>
    <w:uiPriority w:val="1"/>
    <w:qFormat/>
    <w:rsid w:val="00A91B67"/>
    <w:pPr>
      <w:spacing w:after="0" w:line="240" w:lineRule="auto"/>
    </w:pPr>
  </w:style>
  <w:style w:type="paragraph" w:styleId="BalloonText">
    <w:name w:val="Balloon Text"/>
    <w:basedOn w:val="Normal"/>
    <w:link w:val="BalloonTextChar"/>
    <w:uiPriority w:val="99"/>
    <w:semiHidden/>
    <w:unhideWhenUsed/>
    <w:rsid w:val="0055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0C"/>
    <w:rPr>
      <w:rFonts w:ascii="Tahoma" w:hAnsi="Tahoma" w:cs="Tahoma"/>
      <w:sz w:val="16"/>
      <w:szCs w:val="16"/>
    </w:rPr>
  </w:style>
  <w:style w:type="table" w:styleId="TableGrid">
    <w:name w:val="Table Grid"/>
    <w:basedOn w:val="TableNormal"/>
    <w:uiPriority w:val="59"/>
    <w:rsid w:val="00393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36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A81C-06E1-4033-8427-2EF165D6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sotomayor</dc:creator>
  <cp:lastModifiedBy>mvescobar</cp:lastModifiedBy>
  <cp:revision>2</cp:revision>
  <cp:lastPrinted>2016-10-19T10:33:00Z</cp:lastPrinted>
  <dcterms:created xsi:type="dcterms:W3CDTF">2017-01-13T03:00:00Z</dcterms:created>
  <dcterms:modified xsi:type="dcterms:W3CDTF">2017-01-13T03:00:00Z</dcterms:modified>
</cp:coreProperties>
</file>